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highlight w:val="none"/>
        </w:rPr>
      </w:pPr>
      <w:r>
        <w:rPr>
          <w:rFonts w:hint="eastAsia" w:ascii="宋体" w:hAnsi="宋体" w:cs="宋体"/>
          <w:b/>
          <w:bCs/>
          <w:sz w:val="52"/>
          <w:highlight w:val="none"/>
        </w:rPr>
        <w:t xml:space="preserve">   </w:t>
      </w:r>
      <w:r/>
    </w:p>
    <w:p>
      <w:pPr>
        <w:jc w:val="center"/>
        <w:rPr>
          <w:rFonts w:hint="eastAsia" w:ascii="宋体" w:hAnsi="宋体" w:cs="宋体"/>
          <w:b/>
          <w:bCs/>
          <w:sz w:val="52"/>
          <w:highlight w:val="none"/>
        </w:rPr>
      </w:pPr>
      <w:r>
        <w:rPr>
          <w:rFonts w:hint="eastAsia" w:ascii="宋体" w:hAnsi="宋体" w:cs="宋体"/>
          <w:b/>
          <w:bCs/>
          <w:sz w:val="52"/>
          <w:highlight w:val="none"/>
        </w:rPr>
        <w:t xml:space="preserve">宜 兴 市 政 府 采 购</w:t>
      </w:r>
      <w:r/>
    </w:p>
    <w:p>
      <w:pPr>
        <w:jc w:val="center"/>
        <w:rPr>
          <w:rFonts w:hint="eastAsia" w:ascii="宋体" w:hAnsi="宋体" w:cs="宋体"/>
          <w:b/>
          <w:bCs/>
          <w:sz w:val="52"/>
          <w:highlight w:val="none"/>
        </w:rPr>
      </w:pPr>
      <w:r>
        <w:rPr>
          <w:rFonts w:hint="eastAsia" w:ascii="宋体" w:hAnsi="宋体" w:cs="宋体"/>
          <w:b/>
          <w:bCs/>
          <w:sz w:val="52"/>
          <w:highlight w:val="none"/>
        </w:rPr>
      </w:r>
      <w:r/>
    </w:p>
    <w:p>
      <w:pPr>
        <w:pStyle w:val="1053"/>
        <w:rPr>
          <w:rFonts w:hint="eastAsia"/>
          <w:highlight w:val="none"/>
        </w:rPr>
      </w:pPr>
      <w:r>
        <w:rPr>
          <w:rFonts w:hint="eastAsia"/>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标</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文</w:t>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件</w:t>
      </w:r>
      <w:r/>
    </w:p>
    <w:p>
      <w:pPr>
        <w:jc w:val="center"/>
        <w:rPr>
          <w:rFonts w:hint="eastAsia" w:ascii="宋体" w:hAnsi="宋体" w:cs="宋体"/>
          <w:b/>
          <w:bCs/>
          <w:sz w:val="48"/>
          <w:szCs w:val="48"/>
          <w:highlight w:val="none"/>
        </w:rPr>
      </w:pPr>
      <w:r>
        <w:rPr>
          <w:rFonts w:hint="eastAsia" w:ascii="宋体" w:hAnsi="宋体" w:cs="宋体"/>
          <w:b/>
          <w:bCs/>
          <w:sz w:val="48"/>
          <w:szCs w:val="48"/>
          <w:highlight w:val="none"/>
        </w:rPr>
      </w:r>
      <w:r/>
    </w:p>
    <w:p>
      <w:pPr>
        <w:jc w:val="center"/>
        <w:rPr>
          <w:rFonts w:hint="eastAsia" w:ascii="宋体" w:hAnsi="宋体"/>
          <w:b/>
          <w:bCs/>
          <w:sz w:val="84"/>
          <w:highlight w:val="none"/>
        </w:rPr>
      </w:pPr>
      <w:r>
        <w:rPr>
          <w:rFonts w:hint="eastAsia" w:ascii="宋体" w:hAnsi="宋体"/>
          <w:b/>
          <w:bCs/>
          <w:sz w:val="84"/>
          <w:highlight w:val="none"/>
        </w:rPr>
        <w:t xml:space="preserve">（电子标）</w:t>
      </w:r>
      <w:r/>
    </w:p>
    <w:p>
      <w:pPr>
        <w:jc w:val="both"/>
        <w:rPr>
          <w:rFonts w:hint="eastAsia" w:ascii="宋体" w:hAnsi="宋体" w:cs="宋体"/>
          <w:sz w:val="32"/>
          <w:highlight w:val="none"/>
        </w:rPr>
      </w:pPr>
      <w:r>
        <w:rPr>
          <w:rFonts w:hint="eastAsia" w:ascii="宋体" w:hAnsi="宋体" w:cs="宋体"/>
          <w:sz w:val="32"/>
          <w:highlight w:val="none"/>
        </w:rPr>
      </w:r>
      <w:r/>
    </w:p>
    <w:p>
      <w:pPr>
        <w:pStyle w:val="878"/>
        <w:rPr>
          <w:rFonts w:hint="eastAsia"/>
          <w:highlight w:val="none"/>
        </w:rPr>
      </w:pPr>
      <w:r>
        <w:rPr>
          <w:rFonts w:hint="eastAsia"/>
          <w:highlight w:val="none"/>
        </w:rPr>
      </w:r>
      <w:r/>
    </w:p>
    <w:p>
      <w:pPr>
        <w:ind w:left="0" w:firstLine="1260"/>
        <w:jc w:val="both"/>
        <w:spacing w:line="360" w:lineRule="auto"/>
        <w:rPr>
          <w:rFonts w:hint="eastAsia" w:ascii="宋体" w:hAnsi="宋体" w:cs="宋体"/>
          <w:sz w:val="32"/>
          <w:highlight w:val="none"/>
        </w:rPr>
      </w:pPr>
      <w:r>
        <w:rPr>
          <w:rFonts w:hint="eastAsia" w:ascii="宋体" w:hAnsi="宋体" w:cs="宋体"/>
          <w:sz w:val="32"/>
          <w:highlight w:val="none"/>
        </w:rPr>
      </w:r>
      <w:r/>
    </w:p>
    <w:p>
      <w:pPr>
        <w:ind w:left="0" w:firstLine="1260"/>
        <w:jc w:val="both"/>
        <w:spacing w:line="360" w:lineRule="auto"/>
        <w:rPr>
          <w:rFonts w:hint="eastAsia" w:ascii="宋体" w:hAnsi="宋体" w:eastAsia="宋体" w:cs="Times New Roman"/>
          <w:color w:val="000000"/>
          <w:sz w:val="32"/>
          <w:highlight w:val="none"/>
          <w:lang w:eastAsia="zh-CN"/>
        </w:rPr>
      </w:pPr>
      <w:r>
        <w:rPr>
          <w:rFonts w:hint="eastAsia" w:ascii="宋体" w:hAnsi="宋体" w:cs="宋体"/>
          <w:sz w:val="32"/>
          <w:highlight w:val="none"/>
        </w:rPr>
        <w:t xml:space="preserve">项目编</w:t>
      </w:r>
      <w:r>
        <w:rPr>
          <w:rFonts w:hint="eastAsia" w:ascii="宋体" w:hAnsi="宋体" w:cs="宋体"/>
          <w:sz w:val="32"/>
          <w:highlight w:val="none"/>
          <w:lang w:eastAsia="zh-CN"/>
        </w:rPr>
        <w:t xml:space="preserve">号：</w:t>
      </w:r>
      <w:r>
        <w:rPr>
          <w:rFonts w:hint="eastAsia" w:ascii="宋体" w:hAnsi="宋体" w:cs="宋体"/>
          <w:sz w:val="32"/>
          <w:highlight w:val="none"/>
          <w:lang w:val="en-US" w:eastAsia="zh-CN"/>
        </w:rPr>
        <w:t xml:space="preserve">JSZC-320282-HXZX-G2025-0043</w:t>
      </w:r>
      <w:r/>
    </w:p>
    <w:p>
      <w:pPr>
        <w:ind w:left="0" w:firstLine="1260"/>
        <w:jc w:val="both"/>
        <w:spacing w:line="360" w:lineRule="auto"/>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eastAsia="zh-CN"/>
        </w:rPr>
        <w:t xml:space="preserve">采购人：</w:t>
      </w:r>
      <w:r>
        <w:rPr>
          <w:rFonts w:hint="eastAsia" w:ascii="宋体" w:hAnsi="宋体" w:cs="Times New Roman"/>
          <w:color w:val="000000"/>
          <w:sz w:val="32"/>
          <w:highlight w:val="none"/>
          <w:lang w:eastAsia="zh-CN"/>
        </w:rPr>
        <w:t xml:space="preserve">江苏省宜兴第一中学周铁分校</w:t>
      </w:r>
      <w:r/>
    </w:p>
    <w:p>
      <w:pPr>
        <w:ind w:left="0" w:firstLine="1260"/>
        <w:jc w:val="both"/>
        <w:spacing w:line="360" w:lineRule="auto"/>
        <w:rPr>
          <w:rFonts w:hint="eastAsia" w:ascii="宋体" w:hAnsi="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项目名称：</w:t>
      </w:r>
      <w:r>
        <w:rPr>
          <w:rFonts w:hint="eastAsia" w:ascii="宋体" w:hAnsi="宋体" w:cs="Times New Roman"/>
          <w:color w:val="000000"/>
          <w:sz w:val="32"/>
          <w:highlight w:val="none"/>
          <w:lang w:eastAsia="zh-CN"/>
        </w:rPr>
        <w:t xml:space="preserve">理化生实验室设备采购(第二批)</w:t>
      </w:r>
      <w:r/>
    </w:p>
    <w:p>
      <w:pPr>
        <w:ind w:left="0" w:firstLine="1260"/>
        <w:jc w:val="both"/>
        <w:spacing w:line="360" w:lineRule="auto"/>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采购代理机构：</w:t>
      </w:r>
      <w:r>
        <w:rPr>
          <w:rFonts w:hint="eastAsia" w:ascii="宋体" w:hAnsi="宋体" w:cs="Times New Roman"/>
          <w:color w:val="000000"/>
          <w:sz w:val="32"/>
          <w:highlight w:val="none"/>
          <w:lang w:eastAsia="zh-CN"/>
        </w:rPr>
        <w:t xml:space="preserve">江苏宏翔工程造价咨询有限公司</w:t>
      </w:r>
      <w:r/>
    </w:p>
    <w:p>
      <w:pPr>
        <w:ind w:firstLine="960"/>
        <w:jc w:val="center"/>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val="en-US" w:eastAsia="zh-CN"/>
        </w:rPr>
      </w:r>
      <w:r/>
    </w:p>
    <w:p>
      <w:pPr>
        <w:pStyle w:val="878"/>
        <w:rPr>
          <w:rFonts w:hint="eastAsia"/>
          <w:highlight w:val="none"/>
          <w:lang w:val="en-US" w:eastAsia="zh-CN"/>
        </w:rPr>
      </w:pPr>
      <w:r>
        <w:rPr>
          <w:rFonts w:hint="eastAsia"/>
          <w:highlight w:val="none"/>
          <w:lang w:val="en-US" w:eastAsia="zh-CN"/>
        </w:rPr>
      </w:r>
      <w:r/>
    </w:p>
    <w:p>
      <w:pPr>
        <w:jc w:val="center"/>
        <w:rPr>
          <w:rStyle w:val="1066"/>
          <w:rFonts w:hint="eastAsia" w:ascii="宋体" w:hAnsi="宋体" w:cs="宋体"/>
          <w:bCs/>
          <w:sz w:val="48"/>
          <w:highlight w:val="none"/>
        </w:rPr>
      </w:pPr>
      <w:r>
        <w:rPr>
          <w:rFonts w:hint="eastAsia" w:ascii="宋体" w:hAnsi="宋体" w:eastAsia="宋体" w:cs="Times New Roman"/>
          <w:color w:val="000000"/>
          <w:sz w:val="32"/>
          <w:highlight w:val="none"/>
          <w:lang w:val="en-US" w:eastAsia="zh-CN"/>
        </w:rPr>
        <w:t xml:space="preserve">202</w:t>
      </w:r>
      <w:r>
        <w:rPr>
          <w:rFonts w:hint="eastAsia" w:ascii="宋体" w:hAnsi="宋体" w:cs="Times New Roman"/>
          <w:color w:val="000000"/>
          <w:sz w:val="32"/>
          <w:highlight w:val="none"/>
          <w:lang w:val="en-US" w:eastAsia="zh-CN"/>
        </w:rPr>
        <w:t xml:space="preserve">5</w:t>
      </w:r>
      <w:r>
        <w:rPr>
          <w:rFonts w:hint="eastAsia" w:ascii="宋体" w:hAnsi="宋体" w:eastAsia="宋体" w:cs="Times New Roman"/>
          <w:color w:val="000000"/>
          <w:sz w:val="32"/>
          <w:highlight w:val="none"/>
          <w:lang w:val="en-US" w:eastAsia="zh-CN"/>
        </w:rPr>
        <w:t xml:space="preserve">年</w:t>
      </w:r>
      <w:r>
        <w:rPr>
          <w:rFonts w:hint="eastAsia" w:ascii="宋体" w:hAnsi="宋体" w:cs="Times New Roman"/>
          <w:color w:val="000000"/>
          <w:sz w:val="32"/>
          <w:highlight w:val="none"/>
          <w:lang w:val="en-US" w:eastAsia="zh-CN"/>
        </w:rPr>
        <w:t xml:space="preserve">11</w:t>
      </w:r>
      <w:r>
        <w:rPr>
          <w:rFonts w:hint="eastAsia" w:ascii="宋体" w:hAnsi="宋体" w:eastAsia="宋体" w:cs="Times New Roman"/>
          <w:color w:val="000000"/>
          <w:sz w:val="32"/>
          <w:highlight w:val="none"/>
          <w:lang w:eastAsia="zh-CN"/>
        </w:rPr>
        <w:t xml:space="preserve">月3</w:t>
      </w:r>
      <w:r>
        <w:rPr>
          <w:rFonts w:hint="eastAsia" w:ascii="宋体" w:hAnsi="宋体" w:cs="Times New Roman"/>
          <w:color w:val="000000"/>
          <w:sz w:val="32"/>
          <w:highlight w:val="none"/>
          <w:lang w:val="en-US" w:eastAsia="zh-CN"/>
        </w:rPr>
        <w:t xml:space="preserve">日</w:t>
      </w:r>
      <w:r/>
    </w:p>
    <w:p>
      <w:pPr>
        <w:jc w:val="center"/>
        <w:rPr>
          <w:rStyle w:val="1066"/>
          <w:rFonts w:hint="eastAsia" w:ascii="宋体" w:hAnsi="宋体" w:cs="宋体"/>
          <w:bCs/>
          <w:sz w:val="48"/>
          <w:highlight w:val="none"/>
        </w:rPr>
      </w:pPr>
      <w:r>
        <w:rPr>
          <w:rStyle w:val="1066"/>
          <w:rFonts w:hint="eastAsia" w:ascii="宋体" w:hAnsi="宋体" w:cs="宋体"/>
          <w:bCs/>
          <w:sz w:val="48"/>
          <w:highlight w:val="none"/>
        </w:rPr>
        <w:t xml:space="preserve">目     录</w:t>
      </w:r>
      <w:r/>
    </w:p>
    <w:p>
      <w:pPr>
        <w:jc w:val="center"/>
        <w:rPr>
          <w:rFonts w:hint="eastAsia" w:ascii="宋体" w:hAnsi="宋体" w:cs="宋体"/>
          <w:bCs/>
          <w:sz w:val="30"/>
          <w:highlight w:val="none"/>
        </w:rPr>
      </w:pPr>
      <w:r>
        <w:rPr>
          <w:rFonts w:hint="eastAsia" w:ascii="宋体" w:hAnsi="宋体" w:cs="宋体"/>
          <w:bCs/>
          <w:sz w:val="30"/>
          <w:highlight w:val="none"/>
        </w:rPr>
      </w:r>
      <w:r/>
    </w:p>
    <w:p>
      <w:pPr>
        <w:jc w:val="center"/>
        <w:rPr>
          <w:rFonts w:hint="eastAsia" w:ascii="宋体" w:hAnsi="宋体" w:cs="宋体"/>
          <w:bCs/>
          <w:sz w:val="30"/>
          <w:highlight w:val="none"/>
        </w:rPr>
      </w:pPr>
      <w:r>
        <w:rPr>
          <w:rFonts w:hint="eastAsia" w:ascii="宋体" w:hAnsi="宋体" w:cs="宋体"/>
          <w:bCs/>
          <w:sz w:val="30"/>
          <w:highlight w:val="none"/>
        </w:rPr>
      </w:r>
      <w:r/>
    </w:p>
    <w:p>
      <w:pPr>
        <w:pStyle w:val="886"/>
        <w:spacing w:line="360" w:lineRule="auto"/>
        <w:tabs>
          <w:tab w:val="right" w:pos="8730" w:leader="dot"/>
        </w:tabs>
        <w:rPr>
          <w:sz w:val="24"/>
          <w:szCs w:val="2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"1-1" \h \z \u </w:instrText>
      </w:r>
      <w:r>
        <w:rPr>
          <w:rFonts w:hint="eastAsia" w:ascii="宋体" w:hAnsi="宋体" w:eastAsia="宋体" w:cs="宋体"/>
          <w:sz w:val="32"/>
          <w:szCs w:val="32"/>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_Toc3934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 xml:space="preserve">第一章 投标邀请函</w:t>
      </w:r>
      <w:r>
        <w:rPr>
          <w:sz w:val="24"/>
          <w:szCs w:val="22"/>
          <w:highlight w:val="none"/>
        </w:rPr>
        <w:tab/>
      </w:r>
      <w:r>
        <w:rPr>
          <w:sz w:val="24"/>
          <w:szCs w:val="22"/>
          <w:highlight w:val="none"/>
        </w:rPr>
        <w:fldChar w:fldCharType="begin"/>
      </w:r>
      <w:r>
        <w:rPr>
          <w:sz w:val="24"/>
          <w:szCs w:val="22"/>
          <w:highlight w:val="none"/>
        </w:rPr>
        <w:instrText xml:space="preserve"> PAGEREF _Toc3934 \h </w:instrText>
      </w:r>
      <w:r>
        <w:rPr>
          <w:sz w:val="24"/>
          <w:szCs w:val="22"/>
          <w:highlight w:val="none"/>
        </w:rPr>
        <w:fldChar w:fldCharType="separate"/>
      </w:r>
      <w:r>
        <w:rPr>
          <w:sz w:val="24"/>
          <w:szCs w:val="22"/>
          <w:highlight w:val="none"/>
        </w:rPr>
        <w:t xml:space="preserve">1</w:t>
      </w:r>
      <w:r>
        <w:rPr>
          <w:sz w:val="24"/>
          <w:szCs w:val="22"/>
          <w:highlight w:val="none"/>
        </w:rPr>
        <w:fldChar w:fldCharType="end"/>
      </w:r>
      <w:r>
        <w:rPr>
          <w:rFonts w:hint="eastAsia" w:ascii="宋体" w:hAnsi="宋体" w:eastAsia="宋体" w:cs="宋体"/>
          <w:sz w:val="24"/>
          <w:szCs w:val="32"/>
          <w:highlight w:val="none"/>
        </w:rPr>
        <w:fldChar w:fldCharType="end"/>
      </w:r>
      <w:r/>
    </w:p>
    <w:p>
      <w:pPr>
        <w:pStyle w:val="886"/>
        <w:spacing w:line="360" w:lineRule="auto"/>
        <w:tabs>
          <w:tab w:val="right" w:pos="8730" w:leader="dot"/>
        </w:tabs>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_Toc29279 </w:instrText>
      </w:r>
      <w:r>
        <w:rPr>
          <w:rFonts w:hint="eastAsia" w:ascii="宋体" w:hAnsi="宋体" w:eastAsia="宋体" w:cs="宋体"/>
          <w:sz w:val="24"/>
          <w:szCs w:val="32"/>
          <w:highlight w:val="none"/>
        </w:rPr>
        <w:fldChar w:fldCharType="separate"/>
      </w:r>
      <w:r>
        <w:rPr>
          <w:rFonts w:hint="eastAsia"/>
          <w:sz w:val="24"/>
          <w:szCs w:val="22"/>
          <w:highlight w:val="none"/>
        </w:rPr>
        <w:t xml:space="preserve">第二章 投标人须知</w:t>
      </w:r>
      <w:r>
        <w:rPr>
          <w:sz w:val="24"/>
          <w:szCs w:val="22"/>
          <w:highlight w:val="none"/>
        </w:rPr>
        <w:tab/>
      </w:r>
      <w:r>
        <w:rPr>
          <w:sz w:val="24"/>
          <w:szCs w:val="22"/>
          <w:highlight w:val="none"/>
        </w:rPr>
        <w:fldChar w:fldCharType="begin"/>
      </w:r>
      <w:r>
        <w:rPr>
          <w:sz w:val="24"/>
          <w:szCs w:val="22"/>
          <w:highlight w:val="none"/>
        </w:rPr>
        <w:instrText xml:space="preserve"> PAGEREF _Toc29279 \h </w:instrText>
      </w:r>
      <w:r>
        <w:rPr>
          <w:sz w:val="24"/>
          <w:szCs w:val="22"/>
          <w:highlight w:val="none"/>
        </w:rPr>
        <w:fldChar w:fldCharType="separate"/>
      </w:r>
      <w:r>
        <w:rPr>
          <w:sz w:val="24"/>
          <w:szCs w:val="22"/>
          <w:highlight w:val="none"/>
        </w:rPr>
        <w:t xml:space="preserve">4</w:t>
      </w:r>
      <w:r>
        <w:rPr>
          <w:sz w:val="24"/>
          <w:szCs w:val="22"/>
          <w:highlight w:val="none"/>
        </w:rPr>
        <w:fldChar w:fldCharType="end"/>
      </w:r>
      <w:r>
        <w:rPr>
          <w:rFonts w:hint="eastAsia" w:ascii="宋体" w:hAnsi="宋体" w:eastAsia="宋体" w:cs="宋体"/>
          <w:sz w:val="24"/>
          <w:szCs w:val="32"/>
          <w:highlight w:val="none"/>
        </w:rPr>
        <w:fldChar w:fldCharType="end"/>
      </w:r>
      <w:r/>
    </w:p>
    <w:p>
      <w:pPr>
        <w:pStyle w:val="886"/>
        <w:spacing w:line="360" w:lineRule="auto"/>
        <w:tabs>
          <w:tab w:val="right" w:pos="8730" w:leader="dot"/>
        </w:tabs>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_Toc17942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 xml:space="preserve">第</w:t>
      </w:r>
      <w:r>
        <w:rPr>
          <w:rFonts w:hint="eastAsia" w:ascii="Times New Roman" w:hAnsi="Times New Roman" w:eastAsia="宋体" w:cs="Times New Roman"/>
          <w:sz w:val="24"/>
          <w:szCs w:val="22"/>
          <w:highlight w:val="none"/>
          <w:lang w:val="en-US" w:eastAsia="zh-CN"/>
        </w:rPr>
        <w:t xml:space="preserve">三</w:t>
      </w:r>
      <w:r>
        <w:rPr>
          <w:rFonts w:hint="eastAsia" w:ascii="Times New Roman" w:hAnsi="Times New Roman" w:eastAsia="宋体" w:cs="Times New Roman"/>
          <w:sz w:val="24"/>
          <w:szCs w:val="22"/>
          <w:highlight w:val="none"/>
        </w:rPr>
        <w:t xml:space="preserve">章 项目技术要求和有关说明</w:t>
      </w:r>
      <w:r>
        <w:rPr>
          <w:sz w:val="24"/>
          <w:szCs w:val="22"/>
          <w:highlight w:val="none"/>
        </w:rPr>
        <w:tab/>
      </w:r>
      <w:r>
        <w:rPr>
          <w:sz w:val="24"/>
          <w:szCs w:val="22"/>
          <w:highlight w:val="none"/>
        </w:rPr>
        <w:fldChar w:fldCharType="begin"/>
      </w:r>
      <w:r>
        <w:rPr>
          <w:sz w:val="24"/>
          <w:szCs w:val="22"/>
          <w:highlight w:val="none"/>
        </w:rPr>
        <w:instrText xml:space="preserve"> PAGEREF _Toc17942 \h </w:instrText>
      </w:r>
      <w:r>
        <w:rPr>
          <w:sz w:val="24"/>
          <w:szCs w:val="22"/>
          <w:highlight w:val="none"/>
        </w:rPr>
        <w:fldChar w:fldCharType="separate"/>
      </w:r>
      <w:r>
        <w:rPr>
          <w:sz w:val="24"/>
          <w:szCs w:val="22"/>
          <w:highlight w:val="none"/>
        </w:rPr>
        <w:t xml:space="preserve">20</w:t>
      </w:r>
      <w:r>
        <w:rPr>
          <w:sz w:val="24"/>
          <w:szCs w:val="22"/>
          <w:highlight w:val="none"/>
        </w:rPr>
        <w:fldChar w:fldCharType="end"/>
      </w:r>
      <w:r>
        <w:rPr>
          <w:rFonts w:hint="eastAsia" w:ascii="宋体" w:hAnsi="宋体" w:eastAsia="宋体" w:cs="宋体"/>
          <w:sz w:val="24"/>
          <w:szCs w:val="32"/>
          <w:highlight w:val="none"/>
        </w:rPr>
        <w:fldChar w:fldCharType="end"/>
      </w:r>
      <w:r/>
    </w:p>
    <w:p>
      <w:pPr>
        <w:pStyle w:val="886"/>
        <w:spacing w:line="360" w:lineRule="auto"/>
        <w:tabs>
          <w:tab w:val="right" w:pos="8730" w:leader="dot"/>
        </w:tabs>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_Toc178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 xml:space="preserve">第四章 评审方法和标准</w:t>
      </w:r>
      <w:r>
        <w:rPr>
          <w:sz w:val="24"/>
          <w:szCs w:val="22"/>
          <w:highlight w:val="none"/>
        </w:rPr>
        <w:tab/>
      </w:r>
      <w:r>
        <w:rPr>
          <w:sz w:val="24"/>
          <w:szCs w:val="22"/>
          <w:highlight w:val="none"/>
        </w:rPr>
        <w:fldChar w:fldCharType="begin"/>
      </w:r>
      <w:r>
        <w:rPr>
          <w:sz w:val="24"/>
          <w:szCs w:val="22"/>
          <w:highlight w:val="none"/>
        </w:rPr>
        <w:instrText xml:space="preserve"> PAGEREF _Toc178 \h </w:instrText>
      </w:r>
      <w:r>
        <w:rPr>
          <w:sz w:val="24"/>
          <w:szCs w:val="22"/>
          <w:highlight w:val="none"/>
        </w:rPr>
        <w:fldChar w:fldCharType="separate"/>
      </w:r>
      <w:r>
        <w:rPr>
          <w:sz w:val="24"/>
          <w:szCs w:val="22"/>
          <w:highlight w:val="none"/>
        </w:rPr>
        <w:t xml:space="preserve">52</w:t>
      </w:r>
      <w:r>
        <w:rPr>
          <w:sz w:val="24"/>
          <w:szCs w:val="22"/>
          <w:highlight w:val="none"/>
        </w:rPr>
        <w:fldChar w:fldCharType="end"/>
      </w:r>
      <w:r>
        <w:rPr>
          <w:rFonts w:hint="eastAsia" w:ascii="宋体" w:hAnsi="宋体" w:eastAsia="宋体" w:cs="宋体"/>
          <w:sz w:val="24"/>
          <w:szCs w:val="32"/>
          <w:highlight w:val="none"/>
        </w:rPr>
        <w:fldChar w:fldCharType="end"/>
      </w:r>
      <w:r/>
    </w:p>
    <w:p>
      <w:pPr>
        <w:pStyle w:val="886"/>
        <w:spacing w:line="360" w:lineRule="auto"/>
        <w:tabs>
          <w:tab w:val="right" w:pos="8730" w:leader="dot"/>
        </w:tabs>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_Toc27593 </w:instrText>
      </w:r>
      <w:r>
        <w:rPr>
          <w:rFonts w:hint="eastAsia" w:ascii="宋体" w:hAnsi="宋体" w:eastAsia="宋体" w:cs="宋体"/>
          <w:sz w:val="24"/>
          <w:szCs w:val="32"/>
          <w:highlight w:val="none"/>
        </w:rPr>
        <w:fldChar w:fldCharType="separate"/>
      </w:r>
      <w:r>
        <w:rPr>
          <w:rFonts w:hint="eastAsia"/>
          <w:sz w:val="24"/>
          <w:szCs w:val="22"/>
          <w:highlight w:val="none"/>
        </w:rPr>
        <w:t xml:space="preserve">第五章 政府采购合同（格式）</w:t>
      </w:r>
      <w:r>
        <w:rPr>
          <w:sz w:val="24"/>
          <w:szCs w:val="22"/>
          <w:highlight w:val="none"/>
        </w:rPr>
        <w:tab/>
      </w:r>
      <w:r>
        <w:rPr>
          <w:sz w:val="24"/>
          <w:szCs w:val="22"/>
          <w:highlight w:val="none"/>
        </w:rPr>
        <w:fldChar w:fldCharType="begin"/>
      </w:r>
      <w:r>
        <w:rPr>
          <w:sz w:val="24"/>
          <w:szCs w:val="22"/>
          <w:highlight w:val="none"/>
        </w:rPr>
        <w:instrText xml:space="preserve"> PAGEREF _Toc27593 \h </w:instrText>
      </w:r>
      <w:r>
        <w:rPr>
          <w:sz w:val="24"/>
          <w:szCs w:val="22"/>
          <w:highlight w:val="none"/>
        </w:rPr>
        <w:fldChar w:fldCharType="separate"/>
      </w:r>
      <w:r>
        <w:rPr>
          <w:sz w:val="24"/>
          <w:szCs w:val="22"/>
          <w:highlight w:val="none"/>
        </w:rPr>
        <w:t xml:space="preserve">55</w:t>
      </w:r>
      <w:r>
        <w:rPr>
          <w:sz w:val="24"/>
          <w:szCs w:val="22"/>
          <w:highlight w:val="none"/>
        </w:rPr>
        <w:fldChar w:fldCharType="end"/>
      </w:r>
      <w:r>
        <w:rPr>
          <w:rFonts w:hint="eastAsia" w:ascii="宋体" w:hAnsi="宋体" w:eastAsia="宋体" w:cs="宋体"/>
          <w:sz w:val="24"/>
          <w:szCs w:val="32"/>
          <w:highlight w:val="none"/>
        </w:rPr>
        <w:fldChar w:fldCharType="end"/>
      </w:r>
      <w:r/>
    </w:p>
    <w:p>
      <w:pPr>
        <w:pStyle w:val="886"/>
        <w:spacing w:line="360" w:lineRule="auto"/>
        <w:tabs>
          <w:tab w:val="right" w:pos="8730" w:leader="dot"/>
        </w:tabs>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_Toc25903 </w:instrText>
      </w:r>
      <w:r>
        <w:rPr>
          <w:rFonts w:hint="eastAsia" w:ascii="宋体" w:hAnsi="宋体" w:eastAsia="宋体" w:cs="宋体"/>
          <w:sz w:val="24"/>
          <w:szCs w:val="32"/>
          <w:highlight w:val="none"/>
        </w:rPr>
        <w:fldChar w:fldCharType="separate"/>
      </w:r>
      <w:r>
        <w:rPr>
          <w:rFonts w:hint="eastAsia"/>
          <w:sz w:val="24"/>
          <w:szCs w:val="22"/>
          <w:highlight w:val="none"/>
        </w:rPr>
        <w:t xml:space="preserve">第六章 附件（投标文件格式）</w:t>
      </w:r>
      <w:r>
        <w:rPr>
          <w:sz w:val="24"/>
          <w:szCs w:val="22"/>
          <w:highlight w:val="none"/>
        </w:rPr>
        <w:tab/>
      </w:r>
      <w:r>
        <w:rPr>
          <w:sz w:val="24"/>
          <w:szCs w:val="22"/>
          <w:highlight w:val="none"/>
        </w:rPr>
        <w:fldChar w:fldCharType="begin"/>
      </w:r>
      <w:r>
        <w:rPr>
          <w:sz w:val="24"/>
          <w:szCs w:val="22"/>
          <w:highlight w:val="none"/>
        </w:rPr>
        <w:instrText xml:space="preserve"> PAGEREF _Toc25903 \h </w:instrText>
      </w:r>
      <w:r>
        <w:rPr>
          <w:sz w:val="24"/>
          <w:szCs w:val="22"/>
          <w:highlight w:val="none"/>
        </w:rPr>
        <w:fldChar w:fldCharType="separate"/>
      </w:r>
      <w:r>
        <w:rPr>
          <w:sz w:val="24"/>
          <w:szCs w:val="22"/>
          <w:highlight w:val="none"/>
        </w:rPr>
        <w:t xml:space="preserve">65</w:t>
      </w:r>
      <w:r>
        <w:rPr>
          <w:sz w:val="24"/>
          <w:szCs w:val="22"/>
          <w:highlight w:val="none"/>
        </w:rPr>
        <w:fldChar w:fldCharType="end"/>
      </w:r>
      <w:r>
        <w:rPr>
          <w:rFonts w:hint="eastAsia" w:ascii="宋体" w:hAnsi="宋体" w:eastAsia="宋体" w:cs="宋体"/>
          <w:sz w:val="24"/>
          <w:szCs w:val="32"/>
          <w:highlight w:val="none"/>
        </w:rPr>
        <w:fldChar w:fldCharType="end"/>
      </w:r>
      <w:r/>
    </w:p>
    <w:p>
      <w:pPr>
        <w:pStyle w:val="1053"/>
        <w:spacing w:line="360" w:lineRule="auto"/>
        <w:rPr>
          <w:rFonts w:ascii="宋体" w:hAnsi="宋体"/>
          <w:sz w:val="32"/>
          <w:szCs w:val="32"/>
          <w:highlight w:val="none"/>
        </w:rPr>
      </w:pPr>
      <w:r>
        <w:rPr>
          <w:rFonts w:hint="eastAsia" w:ascii="宋体" w:hAnsi="宋体" w:eastAsia="宋体" w:cs="宋体"/>
          <w:sz w:val="22"/>
          <w:szCs w:val="32"/>
          <w:highlight w:val="none"/>
        </w:rPr>
        <w:fldChar w:fldCharType="end"/>
      </w:r>
      <w:r/>
    </w:p>
    <w:p>
      <w:pPr>
        <w:pStyle w:val="1053"/>
        <w:rPr>
          <w:rFonts w:ascii="宋体" w:hAnsi="宋体"/>
          <w:sz w:val="32"/>
          <w:szCs w:val="32"/>
          <w:highlight w:val="none"/>
        </w:rPr>
      </w:pPr>
      <w:r>
        <w:rPr>
          <w:rFonts w:ascii="宋体" w:hAnsi="宋体"/>
          <w:sz w:val="32"/>
          <w:szCs w:val="32"/>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49"/>
        <w:rPr>
          <w:rFonts w:hint="eastAsia"/>
          <w:highlight w:val="none"/>
        </w:rPr>
        <w:sectPr>
          <w:footerReference w:type="default" r:id="rId11"/>
          <w:footnotePr/>
          <w:endnotePr/>
          <w:type w:val="nextPage"/>
          <w:pgSz w:w="11906" w:h="16838" w:orient="portrait"/>
          <w:pgMar w:top="1440" w:right="1588" w:bottom="1440" w:left="1588" w:header="851" w:footer="992" w:gutter="0"/>
          <w:pgNumType w:start="1"/>
          <w:cols w:num="1" w:sep="0" w:space="1701" w:equalWidth="1"/>
          <w:docGrid w:linePitch="360"/>
        </w:sectPr>
      </w:pPr>
      <w:r>
        <w:rPr>
          <w:rFonts w:hint="eastAsia"/>
          <w:highlight w:val="none"/>
        </w:rPr>
      </w:r>
      <w:r/>
    </w:p>
    <w:p>
      <w:pPr>
        <w:pStyle w:val="1049"/>
        <w:spacing w:line="360" w:lineRule="auto"/>
        <w:rPr>
          <w:rFonts w:hint="eastAsia" w:ascii="Times New Roman" w:hAnsi="Times New Roman" w:eastAsia="宋体" w:cs="Times New Roman"/>
          <w:highlight w:val="none"/>
        </w:rPr>
      </w:pPr>
      <w:r/>
      <w:bookmarkStart w:id="0" w:name="_Toc3934"/>
      <w:r>
        <w:rPr>
          <w:rFonts w:hint="eastAsia" w:ascii="Times New Roman" w:hAnsi="Times New Roman" w:eastAsia="宋体" w:cs="Times New Roman"/>
          <w:highlight w:val="none"/>
        </w:rPr>
        <w:t xml:space="preserve">第一章 投标邀请函</w:t>
      </w:r>
      <w:bookmarkEnd w:id="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江苏省宜兴第一中学周铁分校</w:t>
      </w:r>
      <w:r>
        <w:rPr>
          <w:rFonts w:hint="eastAsia" w:ascii="宋体" w:hAnsi="宋体" w:cs="宋体"/>
          <w:bCs/>
          <w:sz w:val="24"/>
          <w:szCs w:val="24"/>
          <w:highlight w:val="none"/>
        </w:rPr>
        <w:t xml:space="preserve">对</w:t>
      </w:r>
      <w:r>
        <w:rPr>
          <w:rFonts w:hint="eastAsia" w:ascii="宋体" w:hAnsi="宋体" w:cs="宋体"/>
          <w:bCs/>
          <w:sz w:val="24"/>
          <w:szCs w:val="24"/>
          <w:highlight w:val="none"/>
          <w:lang w:eastAsia="zh-CN"/>
        </w:rPr>
        <w:t xml:space="preserve">理化生实验室设备采购(第二批)</w:t>
      </w:r>
      <w:r>
        <w:rPr>
          <w:rFonts w:hint="eastAsia" w:ascii="宋体" w:hAnsi="宋体" w:cs="宋体"/>
          <w:sz w:val="24"/>
          <w:szCs w:val="28"/>
          <w:highlight w:val="none"/>
        </w:rPr>
        <w:t xml:space="preserve">进行公开招标，</w:t>
      </w:r>
      <w:r>
        <w:rPr>
          <w:rFonts w:hint="eastAsia" w:ascii="宋体" w:hAnsi="宋体" w:cs="宋体"/>
          <w:bCs/>
          <w:sz w:val="24"/>
          <w:szCs w:val="24"/>
          <w:highlight w:val="none"/>
        </w:rPr>
        <w:t xml:space="preserve">欢迎你单位参加投标并提请注意下列附表中的相关事项：</w:t>
      </w:r>
      <w:r/>
    </w:p>
    <w:tbl>
      <w:tblPr>
        <w:tblStyle w:val="874"/>
        <w:tblW w:w="9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966"/>
        <w:gridCol w:w="1464"/>
        <w:gridCol w:w="6677"/>
      </w:tblGrid>
      <w:tr>
        <w:trPr>
          <w:jc w:val="center"/>
          <w:trHeight w:val="143"/>
        </w:trPr>
        <w:tc>
          <w:tcPr>
            <w:tcW w:w="733" w:type="dxa"/>
            <w:vAlign w:val="top"/>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bookmarkStart w:id="1" w:name="OLE_LINK37"/>
            <w:r>
              <w:rPr>
                <w:rFonts w:hint="eastAsia" w:ascii="宋体" w:hAnsi="宋体" w:cs="宋体"/>
                <w:bCs/>
                <w:sz w:val="24"/>
                <w:szCs w:val="24"/>
                <w:highlight w:val="none"/>
              </w:rPr>
              <w:t xml:space="preserve">序号</w:t>
            </w:r>
            <w:r/>
          </w:p>
        </w:tc>
        <w:tc>
          <w:tcPr>
            <w:gridSpan w:val="3"/>
            <w:tcW w:w="9107" w:type="dxa"/>
            <w:vAlign w:val="top"/>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90"/>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color w:val="auto"/>
                <w:sz w:val="24"/>
                <w:highlight w:val="none"/>
                <w:u w:val="none"/>
                <w:lang w:val="zh-CN"/>
              </w:rPr>
            </w:pPr>
            <w:r>
              <w:rPr>
                <w:rFonts w:hint="eastAsia" w:ascii="宋体" w:hAnsi="宋体" w:cs="宋体"/>
                <w:b/>
                <w:bCs/>
                <w:color w:val="auto"/>
                <w:sz w:val="24"/>
                <w:highlight w:val="none"/>
                <w:u w:val="none"/>
                <w:lang w:val="zh-CN"/>
              </w:rPr>
              <w:t xml:space="preserve">项目</w:t>
            </w:r>
            <w:r/>
          </w:p>
          <w:p>
            <w:pPr>
              <w:jc w:val="center"/>
              <w:keepLines w:val="0"/>
              <w:keepNext w:val="0"/>
              <w:pageBreakBefore w:val="0"/>
              <w:spacing w:line="400" w:lineRule="exact"/>
              <w:widowControl w:val="off"/>
              <w:rPr>
                <w:rFonts w:hint="eastAsia" w:ascii="宋体" w:hAnsi="宋体" w:cs="宋体"/>
                <w:bCs/>
                <w:color w:val="auto"/>
                <w:sz w:val="24"/>
                <w:szCs w:val="24"/>
                <w:highlight w:val="none"/>
              </w:rPr>
            </w:pPr>
            <w:r>
              <w:rPr>
                <w:rFonts w:hint="eastAsia" w:ascii="宋体" w:hAnsi="宋体" w:cs="宋体"/>
                <w:b/>
                <w:bCs/>
                <w:color w:val="auto"/>
                <w:sz w:val="24"/>
                <w:highlight w:val="none"/>
                <w:u w:val="none"/>
                <w:lang w:val="zh-CN"/>
              </w:rPr>
              <w:t xml:space="preserve">信息</w:t>
            </w:r>
            <w:bookmarkStart w:id="2" w:name="OLE_LINK108"/>
            <w:r/>
            <w:bookmarkEnd w:id="2"/>
            <w:r/>
            <w:r/>
          </w:p>
        </w:tc>
        <w:tc>
          <w:tcPr>
            <w:gridSpan w:val="2"/>
            <w:tcW w:w="8141" w:type="dxa"/>
            <w:vAlign w:val="top"/>
            <w:textDirection w:val="lrTb"/>
            <w:noWrap w:val="false"/>
          </w:tcPr>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项目名称：</w:t>
            </w:r>
            <w:r>
              <w:rPr>
                <w:rFonts w:hint="eastAsia" w:cs="Times New Roman"/>
                <w:sz w:val="24"/>
                <w:szCs w:val="24"/>
                <w:highlight w:val="none"/>
                <w:lang w:val="en-US" w:eastAsia="zh-CN"/>
              </w:rPr>
              <w:t xml:space="preserve">理化生实验室设备采购(第二批)</w:t>
            </w:r>
            <w:r/>
          </w:p>
          <w:p>
            <w:pPr>
              <w:pStyle w:val="1073"/>
              <w:keepLines w:val="0"/>
              <w:keepNext w:val="0"/>
              <w:pageBreakBefore w:val="0"/>
              <w:spacing w:line="400" w:lineRule="exact"/>
              <w:widowControl w:val="off"/>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项目编号：</w:t>
            </w:r>
            <w:r>
              <w:rPr>
                <w:rFonts w:hint="eastAsia" w:cs="Times New Roman"/>
                <w:sz w:val="24"/>
                <w:szCs w:val="24"/>
                <w:highlight w:val="none"/>
                <w:lang w:val="en-US" w:eastAsia="zh-CN"/>
              </w:rPr>
              <w:t xml:space="preserve">JSZC-320282-HXZX-G2025-0043</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品    目：</w:t>
            </w:r>
            <w:r>
              <w:rPr>
                <w:rFonts w:hint="eastAsia" w:ascii="宋体" w:hAnsi="Times New Roman" w:eastAsia="宋体" w:cs="Times New Roman"/>
                <w:sz w:val="24"/>
                <w:szCs w:val="24"/>
                <w:highlight w:val="none"/>
                <w:lang w:val="en-US" w:eastAsia="zh-CN"/>
              </w:rPr>
              <w:t xml:space="preserve">货物</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本项目是否专门面向中小企业：是</w:t>
            </w:r>
            <w:r/>
          </w:p>
          <w:p>
            <w:pPr>
              <w:pStyle w:val="1073"/>
              <w:keepLines w:val="0"/>
              <w:keepNext w:val="0"/>
              <w:pageBreakBefore w:val="0"/>
              <w:spacing w:line="400" w:lineRule="exact"/>
              <w:widowControl w:val="off"/>
              <w:rPr>
                <w:rFonts w:hint="eastAsia" w:ascii="宋体" w:hAnsi="宋体"/>
                <w:bCs/>
                <w:color w:val="auto"/>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本项目标的所属行业：</w:t>
            </w:r>
            <w:r>
              <w:rPr>
                <w:rFonts w:hint="eastAsia" w:ascii="宋体" w:hAnsi="宋体"/>
                <w:bCs/>
                <w:color w:val="auto"/>
                <w:sz w:val="24"/>
                <w:szCs w:val="24"/>
                <w:highlight w:val="none"/>
                <w:lang w:val="en-US" w:eastAsia="zh-CN"/>
              </w:rPr>
              <w:t xml:space="preserve">工业</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核心产品：</w:t>
            </w:r>
            <w:r>
              <w:rPr>
                <w:rFonts w:hint="eastAsia" w:cs="Times New Roman"/>
                <w:sz w:val="24"/>
                <w:szCs w:val="24"/>
                <w:highlight w:val="none"/>
                <w:lang w:val="en-US" w:eastAsia="zh-CN"/>
              </w:rPr>
              <w:t xml:space="preserve">实验桌</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采购方式：公开招标</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评审方法：综合评分法</w:t>
            </w:r>
            <w:r/>
          </w:p>
          <w:p>
            <w:pPr>
              <w:pStyle w:val="1073"/>
              <w:keepLines w:val="0"/>
              <w:keepNext w:val="0"/>
              <w:pageBreakBefore w:val="0"/>
              <w:spacing w:line="400" w:lineRule="exact"/>
              <w:widowControl w:val="off"/>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预算金额：</w:t>
            </w:r>
            <w:r>
              <w:rPr>
                <w:rFonts w:hint="eastAsia" w:cs="Times New Roman"/>
                <w:sz w:val="24"/>
                <w:szCs w:val="24"/>
                <w:highlight w:val="none"/>
                <w:lang w:val="en-US" w:eastAsia="zh-CN"/>
              </w:rPr>
              <w:t xml:space="preserve">117.77万</w:t>
            </w:r>
            <w:r>
              <w:rPr>
                <w:rFonts w:hint="eastAsia" w:ascii="宋体" w:hAnsi="Times New Roman" w:eastAsia="宋体" w:cs="Times New Roman"/>
                <w:sz w:val="24"/>
                <w:szCs w:val="24"/>
                <w:highlight w:val="none"/>
                <w:lang w:val="en-US" w:eastAsia="zh-CN"/>
              </w:rPr>
              <w:t xml:space="preserve">元</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Times New Roman" w:eastAsia="宋体" w:cs="Times New Roman"/>
                <w:sz w:val="24"/>
                <w:szCs w:val="24"/>
                <w:highlight w:val="none"/>
                <w:lang w:val="en-US" w:eastAsia="zh-CN"/>
              </w:rPr>
              <w:t xml:space="preserve">最高限价：</w:t>
            </w:r>
            <w:r>
              <w:rPr>
                <w:rFonts w:hint="eastAsia" w:cs="Times New Roman"/>
                <w:sz w:val="24"/>
                <w:szCs w:val="24"/>
                <w:highlight w:val="none"/>
                <w:lang w:val="en-US" w:eastAsia="zh-CN"/>
              </w:rPr>
              <w:t xml:space="preserve">117.766480万</w:t>
            </w:r>
            <w:r>
              <w:rPr>
                <w:rFonts w:hint="eastAsia" w:ascii="宋体" w:hAnsi="Times New Roman" w:eastAsia="宋体" w:cs="Times New Roman"/>
                <w:sz w:val="24"/>
                <w:szCs w:val="24"/>
                <w:highlight w:val="none"/>
                <w:lang w:val="en-US" w:eastAsia="zh-CN"/>
              </w:rPr>
              <w:t xml:space="preserve">元</w:t>
            </w:r>
            <w:r>
              <w:rPr>
                <w:rFonts w:hint="eastAsia" w:cs="Times New Roman"/>
                <w:sz w:val="24"/>
                <w:szCs w:val="24"/>
                <w:highlight w:val="none"/>
                <w:lang w:val="en-US" w:eastAsia="zh-CN"/>
              </w:rPr>
              <w:t xml:space="preserve">，</w:t>
            </w:r>
            <w:r>
              <w:rPr>
                <w:rFonts w:hint="eastAsia" w:ascii="宋体" w:hAnsi="宋体" w:eastAsia="宋体" w:cs="宋体"/>
                <w:color w:val="000000"/>
                <w:sz w:val="24"/>
                <w:szCs w:val="24"/>
                <w:lang w:val="en-US" w:eastAsia="zh-CN" w:bidi="ar"/>
              </w:rPr>
              <w:t xml:space="preserve">具体详见“第三章 项目技术要求和有关说明”</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rPr>
              <w:t xml:space="preserve">供应商报价不能超过本项目最高限价，且清单中的每个采购标的均不得超过单项限价，具体单项报价须在“明细报价表”中明确体现</w:t>
            </w:r>
            <w:r/>
          </w:p>
          <w:p>
            <w:pPr>
              <w:pStyle w:val="1073"/>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 xml:space="preserve">是否接受进口产品：不接受</w:t>
            </w:r>
            <w:r/>
          </w:p>
          <w:p>
            <w:pPr>
              <w:pStyle w:val="1073"/>
              <w:keepLines w:val="0"/>
              <w:keepNext w:val="0"/>
              <w:pageBreakBefore w:val="0"/>
              <w:spacing w:line="400" w:lineRule="exact"/>
              <w:widowControl w:val="off"/>
              <w:rPr>
                <w:rFonts w:hint="eastAsia" w:ascii="宋体" w:hAnsi="宋体" w:cs="宋体"/>
                <w:bCs/>
                <w:color w:val="auto"/>
                <w:sz w:val="24"/>
                <w:szCs w:val="24"/>
                <w:highlight w:val="none"/>
              </w:rPr>
            </w:pPr>
            <w:r>
              <w:rPr>
                <w:rFonts w:hint="eastAsia" w:ascii="宋体" w:hAnsi="Times New Roman" w:eastAsia="宋体" w:cs="Times New Roman"/>
                <w:sz w:val="24"/>
                <w:szCs w:val="24"/>
                <w:highlight w:val="none"/>
                <w:lang w:val="zh-CN" w:eastAsia="zh-CN"/>
              </w:rPr>
              <w:t xml:space="preserve">集中考察或答疑：无</w:t>
            </w:r>
            <w:r>
              <w:rPr>
                <w:rFonts w:hint="eastAsia" w:ascii="宋体" w:hAnsi="Times New Roman" w:eastAsia="宋体" w:cs="Times New Roman"/>
                <w:sz w:val="24"/>
                <w:szCs w:val="24"/>
                <w:highlight w:val="none"/>
                <w:lang w:val="en-US" w:eastAsia="zh-CN"/>
              </w:rPr>
              <w:t xml:space="preserve"> </w:t>
            </w:r>
            <w:r/>
          </w:p>
        </w:tc>
      </w:tr>
      <w:tr>
        <w:trPr>
          <w:jc w:val="center"/>
          <w:trHeight w:val="90"/>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bookmarkStart w:id="3" w:name="OLE_LINK61"/>
            <w:r>
              <w:rPr>
                <w:rFonts w:hint="eastAsia" w:ascii="宋体" w:hAnsi="宋体" w:cs="宋体"/>
                <w:bCs/>
                <w:sz w:val="24"/>
                <w:szCs w:val="24"/>
                <w:highlight w:val="none"/>
              </w:rPr>
              <w:t xml:space="preserve">2</w:t>
            </w:r>
            <w:r/>
          </w:p>
        </w:tc>
        <w:tc>
          <w:tcPr>
            <w:tcW w:w="966" w:type="dxa"/>
            <w:vAlign w:val="center"/>
            <w:textDirection w:val="lrTb"/>
            <w:noWrap w:val="false"/>
          </w:tcPr>
          <w:p>
            <w:pPr>
              <w:pStyle w:val="1073"/>
              <w:jc w:val="center"/>
              <w:keepLines w:val="0"/>
              <w:keepNext w:val="0"/>
              <w:pageBreakBefore w:val="0"/>
              <w:spacing w:line="400" w:lineRule="exact"/>
              <w:widowControl w:val="off"/>
              <w:rPr>
                <w:rFonts w:hint="eastAsia" w:hAnsi="宋体" w:cs="宋体"/>
                <w:b/>
                <w:bCs/>
                <w:highlight w:val="none"/>
                <w:lang w:val="zh-CN"/>
              </w:rPr>
            </w:pPr>
            <w:r/>
            <w:bookmarkStart w:id="4" w:name="OLE_LINK208"/>
            <w:r>
              <w:rPr>
                <w:rFonts w:hint="eastAsia" w:hAnsi="宋体" w:cs="宋体"/>
                <w:b/>
                <w:bCs/>
                <w:highlight w:val="none"/>
                <w:lang w:val="zh-CN"/>
              </w:rPr>
              <w:t xml:space="preserve">资格</w:t>
            </w:r>
            <w:r/>
          </w:p>
          <w:p>
            <w:pPr>
              <w:pStyle w:val="1073"/>
              <w:jc w:val="center"/>
              <w:keepLines w:val="0"/>
              <w:keepNext w:val="0"/>
              <w:pageBreakBefore w:val="0"/>
              <w:spacing w:line="400" w:lineRule="exact"/>
              <w:widowControl w:val="off"/>
              <w:rPr>
                <w:rFonts w:hint="eastAsia" w:hAnsi="宋体" w:cs="宋体"/>
                <w:highlight w:val="none"/>
              </w:rPr>
            </w:pPr>
            <w:r>
              <w:rPr>
                <w:rFonts w:hint="eastAsia" w:hAnsi="宋体" w:cs="宋体"/>
                <w:b/>
                <w:bCs/>
                <w:highlight w:val="none"/>
                <w:lang w:val="zh-CN"/>
              </w:rPr>
              <w:t xml:space="preserve">审查</w:t>
            </w:r>
            <w:bookmarkEnd w:id="4"/>
            <w:r/>
            <w:r/>
          </w:p>
        </w:tc>
        <w:tc>
          <w:tcPr>
            <w:gridSpan w:val="2"/>
            <w:tcW w:w="8141" w:type="dxa"/>
            <w:vAlign w:val="top"/>
            <w:textDirection w:val="lrTb"/>
            <w:noWrap w:val="false"/>
          </w:tcPr>
          <w:p>
            <w:pPr>
              <w:pStyle w:val="1073"/>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2.1供应商参加本次政府采购活动</w:t>
            </w:r>
            <w:r>
              <w:rPr>
                <w:rFonts w:hint="eastAsia"/>
                <w:sz w:val="24"/>
                <w:szCs w:val="24"/>
                <w:highlight w:val="none"/>
                <w:lang w:val="zh-CN"/>
              </w:rPr>
              <w:t xml:space="preserve">应具备下列资格条件</w:t>
            </w:r>
            <w:r>
              <w:rPr>
                <w:rFonts w:hint="eastAsia"/>
                <w:sz w:val="24"/>
                <w:szCs w:val="24"/>
                <w:highlight w:val="none"/>
              </w:rPr>
              <w:t xml:space="preserve">：</w:t>
            </w:r>
            <w:r/>
          </w:p>
          <w:p>
            <w:pPr>
              <w:keepLines w:val="0"/>
              <w:keepNext w:val="0"/>
              <w:pageBreakBefore w:val="0"/>
              <w:spacing w:line="400" w:lineRule="exact"/>
              <w:widowControl w:val="off"/>
              <w:rPr>
                <w:rFonts w:hint="eastAsia"/>
                <w:sz w:val="24"/>
                <w:szCs w:val="24"/>
                <w:highlight w:val="none"/>
                <w:lang w:val="zh-CN"/>
              </w:rPr>
            </w:pPr>
            <w:r>
              <w:rPr>
                <w:rFonts w:hint="eastAsia"/>
                <w:sz w:val="24"/>
                <w:szCs w:val="24"/>
                <w:highlight w:val="none"/>
                <w:lang w:val="zh-CN"/>
              </w:rPr>
              <w:t xml:space="preserve">①</w:t>
            </w:r>
            <w:r>
              <w:rPr>
                <w:rFonts w:hint="eastAsia"/>
                <w:sz w:val="24"/>
                <w:szCs w:val="24"/>
                <w:highlight w:val="none"/>
              </w:rPr>
              <w:t xml:space="preserve">满足《中华人民共和国政府采购法》第二十二条规定</w:t>
            </w:r>
            <w:r>
              <w:rPr>
                <w:rFonts w:hint="eastAsia"/>
                <w:sz w:val="24"/>
                <w:szCs w:val="24"/>
                <w:highlight w:val="none"/>
                <w:lang w:val="zh-CN"/>
              </w:rPr>
              <w:t xml:space="preserve">；</w:t>
            </w:r>
            <w:r/>
          </w:p>
          <w:p>
            <w:pPr>
              <w:keepLines w:val="0"/>
              <w:keepNext w:val="0"/>
              <w:pageBreakBefore w:val="0"/>
              <w:spacing w:line="400" w:lineRule="exact"/>
              <w:widowControl w:val="off"/>
              <w:rPr>
                <w:rFonts w:hint="eastAsia"/>
                <w:sz w:val="24"/>
                <w:szCs w:val="24"/>
                <w:highlight w:val="none"/>
                <w:lang w:val="zh-CN"/>
              </w:rPr>
            </w:pPr>
            <w:r>
              <w:rPr>
                <w:rFonts w:hint="eastAsia"/>
                <w:sz w:val="24"/>
                <w:szCs w:val="24"/>
                <w:highlight w:val="none"/>
                <w:lang w:val="zh-CN"/>
              </w:rPr>
              <w:t xml:space="preserve">②</w:t>
            </w:r>
            <w:r>
              <w:rPr>
                <w:rFonts w:hint="eastAsia"/>
                <w:sz w:val="24"/>
                <w:szCs w:val="24"/>
                <w:highlight w:val="none"/>
              </w:rPr>
              <w:t xml:space="preserve">落实政府采购政策需满足的资格要求：</w:t>
            </w:r>
            <w:r>
              <w:rPr>
                <w:rFonts w:hint="eastAsia"/>
                <w:sz w:val="24"/>
                <w:szCs w:val="24"/>
                <w:highlight w:val="none"/>
                <w:lang w:val="en-US" w:eastAsia="zh-CN"/>
              </w:rPr>
              <w:t xml:space="preserve">本项目专门面向中小企业</w:t>
            </w:r>
            <w:r>
              <w:rPr>
                <w:rFonts w:hint="eastAsia"/>
                <w:sz w:val="24"/>
                <w:szCs w:val="24"/>
                <w:highlight w:val="none"/>
                <w:lang w:val="zh-CN"/>
              </w:rPr>
              <w:t xml:space="preserve">；</w:t>
            </w:r>
            <w:r/>
          </w:p>
          <w:p>
            <w:pPr>
              <w:keepLines w:val="0"/>
              <w:keepNext w:val="0"/>
              <w:pageBreakBefore w:val="0"/>
              <w:spacing w:line="400" w:lineRule="exact"/>
              <w:widowControl w:val="off"/>
              <w:rPr>
                <w:rFonts w:hint="eastAsia"/>
                <w:sz w:val="24"/>
                <w:szCs w:val="24"/>
                <w:highlight w:val="none"/>
                <w:lang w:val="zh-CN"/>
              </w:rPr>
            </w:pPr>
            <w:r>
              <w:rPr>
                <w:rFonts w:hint="eastAsia"/>
                <w:sz w:val="24"/>
                <w:szCs w:val="24"/>
                <w:highlight w:val="none"/>
              </w:rPr>
              <w:t xml:space="preserve">③其他要求：</w:t>
            </w:r>
            <w:r/>
          </w:p>
          <w:p>
            <w:pPr>
              <w:numPr>
                <w:ilvl w:val="0"/>
                <w:numId w:val="0"/>
              </w:numPr>
              <w:ind w:left="220"/>
              <w:jc w:val="left"/>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无不良</w:t>
            </w:r>
            <w:r>
              <w:rPr>
                <w:rFonts w:hint="eastAsia"/>
                <w:sz w:val="24"/>
                <w:szCs w:val="24"/>
                <w:highlight w:val="none"/>
                <w:lang w:val="zh-CN"/>
              </w:rPr>
              <w:t xml:space="preserve">信用记录；</w:t>
            </w:r>
            <w:r/>
          </w:p>
          <w:p>
            <w:pPr>
              <w:numPr>
                <w:ilvl w:val="0"/>
                <w:numId w:val="0"/>
              </w:numPr>
              <w:ind w:left="220"/>
              <w:jc w:val="left"/>
              <w:keepLines w:val="0"/>
              <w:keepNext w:val="0"/>
              <w:pageBreakBefore w:val="0"/>
              <w:spacing w:line="400" w:lineRule="exact"/>
              <w:widowControl w:val="off"/>
              <w:rPr>
                <w:rFonts w:hint="eastAsia"/>
                <w:sz w:val="24"/>
                <w:szCs w:val="24"/>
                <w:highlight w:val="none"/>
              </w:rPr>
            </w:pPr>
            <w:r>
              <w:rPr>
                <w:rFonts w:hint="eastAsia"/>
                <w:sz w:val="24"/>
                <w:szCs w:val="24"/>
                <w:highlight w:val="none"/>
                <w:lang w:val="zh-CN" w:eastAsia="zh-CN"/>
              </w:rPr>
              <w:t xml:space="preserve">不接受联合体</w:t>
            </w:r>
            <w:r>
              <w:rPr>
                <w:rFonts w:hint="eastAsia"/>
                <w:sz w:val="24"/>
                <w:szCs w:val="24"/>
                <w:highlight w:val="none"/>
                <w:lang w:val="zh-CN"/>
              </w:rPr>
              <w:t xml:space="preserve">；</w:t>
            </w:r>
            <w:r>
              <w:rPr>
                <w:rFonts w:hint="eastAsia"/>
                <w:sz w:val="24"/>
                <w:szCs w:val="24"/>
                <w:highlight w:val="none"/>
                <w:lang w:val="en-US" w:eastAsia="zh-CN"/>
              </w:rPr>
              <w:t xml:space="preserve">不接受分包</w:t>
            </w:r>
            <w:r/>
          </w:p>
          <w:p>
            <w:pPr>
              <w:numPr>
                <w:ilvl w:val="0"/>
                <w:numId w:val="0"/>
              </w:numPr>
              <w:ind w:left="220"/>
              <w:jc w:val="left"/>
              <w:keepLines w:val="0"/>
              <w:keepNext w:val="0"/>
              <w:pageBreakBefore w:val="0"/>
              <w:spacing w:line="400" w:lineRule="exact"/>
              <w:widowControl w:val="off"/>
              <w:rPr>
                <w:rFonts w:hint="eastAsia"/>
                <w:highlight w:val="none"/>
              </w:rPr>
            </w:pPr>
            <w:r>
              <w:rPr>
                <w:rFonts w:hint="eastAsia" w:ascii="宋体" w:hAnsi="宋体" w:cs="宋体"/>
                <w:bCs/>
                <w:color w:val="auto"/>
                <w:sz w:val="24"/>
                <w:szCs w:val="24"/>
                <w:highlight w:val="none"/>
              </w:rPr>
              <w:t xml:space="preserve">特定资格要求</w:t>
            </w:r>
            <w:r>
              <w:rPr>
                <w:rFonts w:hint="eastAsia"/>
                <w:sz w:val="24"/>
                <w:szCs w:val="24"/>
                <w:highlight w:val="none"/>
              </w:rPr>
              <w:t xml:space="preserve">：</w:t>
            </w:r>
            <w:r>
              <w:rPr>
                <w:rFonts w:hint="eastAsia"/>
                <w:sz w:val="24"/>
                <w:szCs w:val="24"/>
                <w:highlight w:val="none"/>
                <w:lang w:val="en-US" w:eastAsia="zh-CN"/>
              </w:rPr>
              <w:t xml:space="preserve">无。</w:t>
            </w:r>
            <w:bookmarkEnd w:id="3"/>
            <w:r/>
            <w:r/>
          </w:p>
        </w:tc>
      </w:tr>
      <w:tr>
        <w:trPr>
          <w:jc w:val="center"/>
          <w:trHeight w:val="538"/>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w:t>
            </w:r>
            <w:r/>
          </w:p>
        </w:tc>
        <w:tc>
          <w:tcPr>
            <w:tcW w:w="966" w:type="dxa"/>
            <w:vAlign w:val="center"/>
            <w:textDirection w:val="lrTb"/>
            <w:noWrap w:val="false"/>
          </w:tcPr>
          <w:p>
            <w:pPr>
              <w:pStyle w:val="1073"/>
              <w:jc w:val="center"/>
              <w:keepLines w:val="0"/>
              <w:keepNext w:val="0"/>
              <w:pageBreakBefore w:val="0"/>
              <w:spacing w:line="400" w:lineRule="exact"/>
              <w:widowControl w:val="off"/>
              <w:rPr>
                <w:rFonts w:hint="eastAsia" w:ascii="宋体" w:hAnsi="Times New Roman" w:eastAsia="宋体" w:cs="Times New Roman"/>
                <w:b/>
                <w:bCs/>
                <w:szCs w:val="22"/>
                <w:highlight w:val="none"/>
                <w:lang w:val="en-US" w:eastAsia="zh-CN"/>
              </w:rPr>
            </w:pPr>
            <w:r>
              <w:rPr>
                <w:rFonts w:hint="eastAsia" w:ascii="宋体" w:hAnsi="Times New Roman" w:eastAsia="宋体" w:cs="Times New Roman"/>
                <w:b/>
                <w:bCs/>
                <w:szCs w:val="22"/>
                <w:highlight w:val="none"/>
                <w:lang w:val="en-US" w:eastAsia="zh-CN"/>
              </w:rPr>
              <w:t xml:space="preserve">招标</w:t>
            </w:r>
            <w:r/>
          </w:p>
          <w:p>
            <w:pPr>
              <w:pStyle w:val="1073"/>
              <w:jc w:val="center"/>
              <w:keepLines w:val="0"/>
              <w:keepNext w:val="0"/>
              <w:pageBreakBefore w:val="0"/>
              <w:spacing w:line="400" w:lineRule="exact"/>
              <w:widowControl w:val="off"/>
              <w:rPr>
                <w:rFonts w:hint="eastAsia" w:hAnsi="宋体" w:cs="宋体"/>
                <w:bCs/>
                <w:szCs w:val="24"/>
                <w:highlight w:val="none"/>
              </w:rPr>
            </w:pPr>
            <w:r>
              <w:rPr>
                <w:rFonts w:hint="eastAsia" w:ascii="宋体" w:hAnsi="Times New Roman" w:eastAsia="宋体" w:cs="Times New Roman"/>
                <w:b/>
                <w:bCs/>
                <w:szCs w:val="22"/>
                <w:highlight w:val="none"/>
                <w:lang w:val="zh-CN"/>
              </w:rPr>
              <w:t xml:space="preserve">文件</w:t>
            </w:r>
            <w:r/>
          </w:p>
        </w:tc>
        <w:tc>
          <w:tcPr>
            <w:gridSpan w:val="2"/>
            <w:tcW w:w="8141" w:type="dxa"/>
            <w:vAlign w:val="top"/>
            <w:textDirection w:val="lrTb"/>
            <w:noWrap w:val="false"/>
          </w:tcPr>
          <w:p>
            <w:pPr>
              <w:numPr>
                <w:ilvl w:val="0"/>
                <w:numId w:val="0"/>
              </w:numPr>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highlight w:val="none"/>
                <w:lang w:val="en-US" w:eastAsia="zh-CN"/>
              </w:rPr>
              <w:t xml:space="preserve">1、</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的获取：首次</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w:t>
            </w:r>
            <w:r>
              <w:rPr>
                <w:rFonts w:hint="eastAsia" w:ascii="宋体" w:hAnsi="宋体" w:cs="宋体"/>
                <w:bCs/>
                <w:color w:val="auto"/>
                <w:sz w:val="24"/>
                <w:szCs w:val="21"/>
                <w:highlight w:val="none"/>
                <w:lang w:eastAsia="zh-CN"/>
              </w:rPr>
              <w:t xml:space="preserve">招标文件</w:t>
            </w:r>
            <w:r>
              <w:rPr>
                <w:rFonts w:hint="eastAsia" w:ascii="宋体" w:hAnsi="宋体" w:cs="宋体"/>
                <w:bCs/>
                <w:color w:val="auto"/>
                <w:sz w:val="24"/>
                <w:szCs w:val="21"/>
                <w:highlight w:val="none"/>
              </w:rPr>
              <w:t xml:space="preserve">。</w:t>
            </w:r>
            <w:r/>
          </w:p>
          <w:p>
            <w:pPr>
              <w:numPr>
                <w:ilvl w:val="0"/>
                <w:numId w:val="0"/>
              </w:numPr>
              <w:jc w:val="left"/>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0"/>
              </w:numPr>
              <w:jc w:val="left"/>
              <w:keepLines w:val="0"/>
              <w:keepNext w:val="0"/>
              <w:pageBreakBefore w:val="0"/>
              <w:spacing w:line="400" w:lineRule="exact"/>
              <w:widowControl w:val="off"/>
              <w:rPr>
                <w:rFonts w:hint="eastAsia" w:eastAsia="宋体"/>
                <w:highlight w:val="none"/>
                <w:lang w:val="en-US" w:eastAsia="zh-CN"/>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538"/>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 xml:space="preserve">4</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keepLines w:val="0"/>
              <w:keepNext w:val="0"/>
              <w:pageBreakBefore w:val="0"/>
              <w:spacing w:line="400" w:lineRule="exact"/>
              <w:widowControl w:val="off"/>
              <w:rPr>
                <w:rFonts w:hint="eastAsia" w:ascii="宋体" w:hAnsi="Times New Roman" w:eastAsia="宋体" w:cs="Times New Roman"/>
                <w:b/>
                <w:bCs/>
                <w:sz w:val="24"/>
                <w:szCs w:val="22"/>
                <w:highlight w:val="none"/>
                <w:u w:val="none"/>
                <w:lang w:val="en-US" w:eastAsia="zh-CN" w:bidi="ar-SA"/>
              </w:rPr>
            </w:pPr>
            <w:r>
              <w:rPr>
                <w:rFonts w:hint="eastAsia" w:ascii="宋体" w:hAnsi="宋体"/>
                <w:b/>
                <w:color w:val="auto"/>
                <w:sz w:val="24"/>
                <w:szCs w:val="24"/>
                <w:highlight w:val="none"/>
              </w:rPr>
              <w:t xml:space="preserve">文件</w:t>
            </w:r>
            <w:r/>
          </w:p>
        </w:tc>
        <w:tc>
          <w:tcPr>
            <w:gridSpan w:val="2"/>
            <w:tcW w:w="8141" w:type="dxa"/>
            <w:vAlign w:val="top"/>
            <w:textDirection w:val="lrTb"/>
            <w:noWrap w:val="false"/>
          </w:tcPr>
          <w:p>
            <w:pPr>
              <w:jc w:val="left"/>
              <w:keepLines w:val="0"/>
              <w:keepNext w:val="0"/>
              <w:pageBreakBefore w:val="0"/>
              <w:spacing w:line="400" w:lineRule="exact"/>
              <w:widowControl w:val="off"/>
              <w:rPr>
                <w:rFonts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制作及提交：</w:t>
            </w:r>
            <w:r>
              <w:rPr>
                <w:rFonts w:hint="eastAsia" w:ascii="宋体" w:hAnsi="宋体" w:cs="宋体"/>
                <w:bCs/>
                <w:color w:val="auto"/>
                <w:sz w:val="24"/>
                <w:szCs w:val="21"/>
                <w:highlight w:val="none"/>
              </w:rPr>
              <w:t xml:space="preserve">将电子</w:t>
            </w:r>
            <w:r>
              <w:rPr>
                <w:rFonts w:hint="eastAsia" w:ascii="宋体" w:hAnsi="宋体" w:cs="宋体"/>
                <w:bCs/>
                <w:color w:val="auto"/>
                <w:sz w:val="24"/>
                <w:szCs w:val="21"/>
                <w:highlight w:val="none"/>
                <w:lang w:val="en-US" w:eastAsia="zh-CN"/>
              </w:rPr>
              <w:t xml:space="preserve">招标</w:t>
            </w:r>
            <w:r>
              <w:rPr>
                <w:rFonts w:hint="eastAsia" w:ascii="宋体" w:hAnsi="宋体" w:cs="宋体"/>
                <w:bCs/>
                <w:color w:val="auto"/>
                <w:sz w:val="24"/>
                <w:szCs w:val="21"/>
                <w:highlight w:val="none"/>
              </w:rPr>
              <w:t xml:space="preserve">文件导入政府采购客户端工具制作</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，导出加密的</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(后缀名为zip)，通过“苏采云”系统上传</w:t>
            </w:r>
            <w:r>
              <w:rPr>
                <w:rFonts w:hint="eastAsia" w:ascii="宋体" w:hAnsi="宋体" w:cs="宋体"/>
                <w:bCs/>
                <w:color w:val="auto"/>
                <w:sz w:val="24"/>
                <w:szCs w:val="21"/>
                <w:highlight w:val="none"/>
                <w:lang w:eastAsia="zh-CN"/>
              </w:rPr>
              <w:t xml:space="preserve">投标文件</w:t>
            </w:r>
            <w:r>
              <w:rPr>
                <w:rFonts w:hint="eastAsia" w:ascii="宋体" w:hAnsi="宋体" w:cs="宋体"/>
                <w:bCs/>
                <w:color w:val="auto"/>
                <w:sz w:val="24"/>
                <w:szCs w:val="21"/>
                <w:highlight w:val="none"/>
              </w:rPr>
              <w:t xml:space="preserve">。</w:t>
            </w:r>
            <w:r/>
          </w:p>
          <w:p>
            <w:pPr>
              <w:keepLines w:val="0"/>
              <w:keepNext w:val="0"/>
              <w:pageBreakBefore w:val="0"/>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截止时间后的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，恕不接受。</w:t>
            </w:r>
            <w:r/>
          </w:p>
        </w:tc>
      </w:tr>
      <w:tr>
        <w:trPr>
          <w:jc w:val="center"/>
          <w:trHeight w:val="538"/>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bCs/>
                <w:sz w:val="24"/>
                <w:szCs w:val="24"/>
                <w:highlight w:val="none"/>
              </w:rPr>
            </w:pPr>
            <w:r>
              <w:rPr>
                <w:rFonts w:hint="eastAsia" w:ascii="宋体" w:hAnsi="宋体"/>
                <w:bCs/>
                <w:color w:val="auto"/>
                <w:sz w:val="24"/>
                <w:szCs w:val="24"/>
                <w:highlight w:val="none"/>
                <w:lang w:val="en-US" w:eastAsia="zh-CN"/>
              </w:rPr>
              <w:t xml:space="preserve">5</w:t>
            </w:r>
            <w:r/>
          </w:p>
        </w:tc>
        <w:tc>
          <w:tcPr>
            <w:tcW w:w="966" w:type="dxa"/>
            <w:vAlign w:val="center"/>
            <w:textDirection w:val="lrTb"/>
            <w:noWrap w:val="false"/>
          </w:tcPr>
          <w:p>
            <w:pPr>
              <w:pStyle w:val="1073"/>
              <w:jc w:val="center"/>
              <w:keepLines w:val="0"/>
              <w:keepNext w:val="0"/>
              <w:pageBreakBefore w:val="0"/>
              <w:spacing w:line="400" w:lineRule="exact"/>
              <w:widowControl w:val="off"/>
              <w:rPr>
                <w:b/>
                <w:bCs/>
                <w:color w:val="auto"/>
                <w:szCs w:val="22"/>
                <w:highlight w:val="none"/>
                <w:lang w:val="zh-CN"/>
              </w:rPr>
            </w:pPr>
            <w:r>
              <w:rPr>
                <w:rFonts w:hint="eastAsia"/>
                <w:b/>
                <w:bCs/>
                <w:color w:val="auto"/>
                <w:szCs w:val="22"/>
                <w:highlight w:val="none"/>
                <w:lang w:val="zh-CN"/>
              </w:rPr>
              <w:t xml:space="preserve">投标</w:t>
            </w:r>
            <w:r/>
          </w:p>
          <w:p>
            <w:pPr>
              <w:jc w:val="center"/>
              <w:keepLines w:val="0"/>
              <w:keepNext w:val="0"/>
              <w:pageBreakBefore w:val="0"/>
              <w:spacing w:line="400" w:lineRule="exact"/>
              <w:widowControl w:val="off"/>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141"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90"/>
        </w:trPr>
        <w:tc>
          <w:tcPr>
            <w:tcW w:w="733" w:type="dxa"/>
            <w:vAlign w:val="center"/>
            <w:textDirection w:val="lrTb"/>
            <w:noWrap w:val="false"/>
          </w:tcPr>
          <w:p>
            <w:pPr>
              <w:jc w:val="center"/>
              <w:keepLines w:val="0"/>
              <w:keepNext w:val="0"/>
              <w:pageBreakBefore w:val="0"/>
              <w:spacing w:line="400" w:lineRule="exact"/>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W w:w="966" w:type="dxa"/>
            <w:vAlign w:val="center"/>
            <w:textDirection w:val="lrTb"/>
            <w:noWrap w:val="false"/>
          </w:tcPr>
          <w:p>
            <w:pPr>
              <w:jc w:val="center"/>
              <w:keepLines w:val="0"/>
              <w:keepNext w:val="0"/>
              <w:pageBreakBefore w:val="0"/>
              <w:spacing w:line="400" w:lineRule="exact"/>
              <w:widowControl w:val="off"/>
              <w:rPr>
                <w:rFonts w:hint="eastAsia"/>
                <w:b/>
                <w:bCs/>
                <w:color w:val="auto"/>
                <w:sz w:val="24"/>
                <w:szCs w:val="22"/>
                <w:highlight w:val="none"/>
                <w:lang w:val="en-US" w:eastAsia="zh-CN"/>
              </w:rPr>
            </w:pPr>
            <w:r>
              <w:rPr>
                <w:rFonts w:hint="eastAsia"/>
                <w:b/>
                <w:bCs/>
                <w:color w:val="auto"/>
                <w:sz w:val="24"/>
                <w:szCs w:val="22"/>
                <w:highlight w:val="none"/>
                <w:lang w:val="en-US" w:eastAsia="zh-CN"/>
              </w:rPr>
              <w:t xml:space="preserve">其他</w:t>
            </w:r>
            <w:r/>
          </w:p>
          <w:p>
            <w:pPr>
              <w:jc w:val="center"/>
              <w:keepLines w:val="0"/>
              <w:keepNext w:val="0"/>
              <w:pageBreakBefore w:val="0"/>
              <w:spacing w:line="400" w:lineRule="exact"/>
              <w:widowControl w:val="off"/>
              <w:rPr>
                <w:rFonts w:hint="default" w:eastAsia="宋体"/>
                <w:b/>
                <w:bCs/>
                <w:color w:val="auto"/>
                <w:sz w:val="24"/>
                <w:szCs w:val="22"/>
                <w:highlight w:val="none"/>
                <w:lang w:val="en-US" w:eastAsia="zh-CN"/>
              </w:rPr>
            </w:pPr>
            <w:r>
              <w:rPr>
                <w:rFonts w:hint="eastAsia"/>
                <w:b/>
                <w:bCs/>
                <w:color w:val="auto"/>
                <w:sz w:val="24"/>
                <w:szCs w:val="22"/>
                <w:highlight w:val="none"/>
                <w:lang w:val="en-US" w:eastAsia="zh-CN"/>
              </w:rPr>
              <w:t xml:space="preserve">要求</w:t>
            </w:r>
            <w:r/>
          </w:p>
        </w:tc>
        <w:tc>
          <w:tcPr>
            <w:gridSpan w:val="2"/>
            <w:tcW w:w="8141" w:type="dxa"/>
            <w:vAlign w:val="center"/>
            <w:textDirection w:val="lrTb"/>
            <w:noWrap w:val="false"/>
          </w:tcPr>
          <w:p>
            <w:pPr>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693"/>
        </w:trPr>
        <w:tc>
          <w:tcPr>
            <w:tcW w:w="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7</w:t>
            </w:r>
            <w:r/>
          </w:p>
        </w:tc>
        <w:tc>
          <w:tcPr>
            <w:tcW w:w="966"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
                <w:color w:val="auto"/>
                <w:sz w:val="24"/>
                <w:szCs w:val="24"/>
                <w:highlight w:val="none"/>
              </w:rPr>
              <w:t xml:space="preserve">不见面开标</w:t>
            </w:r>
            <w:r/>
          </w:p>
        </w:tc>
        <w:tc>
          <w:tcPr>
            <w:gridSpan w:val="2"/>
            <w:tcW w:w="8141" w:type="dxa"/>
            <w:vAlign w:val="top"/>
            <w:textDirection w:val="lrTb"/>
            <w:noWrap w:val="false"/>
          </w:tcPr>
          <w:p>
            <w:pPr>
              <w:ind w:firstLine="480"/>
              <w:keepLines w:val="0"/>
              <w:keepNext w:val="0"/>
              <w:pageBreakBefore w:val="0"/>
              <w:spacing w:line="400" w:lineRule="exact"/>
              <w:widowControl w:val="off"/>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0"/>
              </w:numPr>
              <w:ind w:left="0" w:firstLine="0"/>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1.</w:t>
            </w:r>
            <w:r>
              <w:rPr>
                <w:rFonts w:hint="eastAsia" w:ascii="宋体" w:hAnsi="宋体" w:cs="宋体"/>
                <w:bCs/>
                <w:color w:val="auto"/>
                <w:sz w:val="24"/>
                <w:szCs w:val="21"/>
                <w:highlight w:val="none"/>
              </w:rPr>
              <w:t xml:space="preserve">不见面开标注意事项：</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ind w:left="0" w:firstLine="0"/>
              <w:jc w:val="left"/>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 xml:space="preserve">2.</w:t>
            </w:r>
            <w:r>
              <w:rPr>
                <w:rFonts w:hint="eastAsia" w:ascii="宋体" w:hAnsi="宋体" w:cs="宋体"/>
                <w:bCs/>
                <w:color w:val="auto"/>
                <w:sz w:val="24"/>
                <w:szCs w:val="21"/>
                <w:highlight w:val="none"/>
              </w:rPr>
              <w:t xml:space="preserve">采购活动时间：</w:t>
            </w:r>
            <w:r/>
          </w:p>
          <w:p>
            <w:pPr>
              <w:ind w:firstLine="480"/>
              <w:keepLines w:val="0"/>
              <w:keepNext w:val="0"/>
              <w:pageBreakBefore w:val="0"/>
              <w:spacing w:line="400" w:lineRule="exact"/>
              <w:widowControl w:val="off"/>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keepLines w:val="0"/>
              <w:keepNext w:val="0"/>
              <w:pageBreakBefore w:val="0"/>
              <w:spacing w:line="400" w:lineRule="exact"/>
              <w:widowControl w:val="off"/>
              <w:rPr>
                <w:rFonts w:hint="eastAsia" w:ascii="宋体" w:hAnsi="宋体" w:cs="宋体"/>
                <w:bCs/>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758"/>
        </w:trPr>
        <w:tc>
          <w:tcPr>
            <w:tcW w:w="733"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bookmarkStart w:id="5" w:name="OLE_LINK84"/>
            <w:r>
              <w:rPr>
                <w:rFonts w:hint="eastAsia" w:ascii="宋体" w:hAnsi="宋体" w:cs="宋体"/>
                <w:bCs/>
                <w:sz w:val="24"/>
                <w:szCs w:val="24"/>
                <w:highlight w:val="none"/>
                <w:lang w:val="en-US" w:eastAsia="zh-CN"/>
              </w:rPr>
              <w:t xml:space="preserve">8</w:t>
            </w:r>
            <w:r/>
          </w:p>
        </w:tc>
        <w:tc>
          <w:tcPr>
            <w:tcW w:w="96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Times New Roman"/>
                <w:b/>
                <w:sz w:val="24"/>
                <w:szCs w:val="24"/>
                <w:highlight w:val="none"/>
                <w:u w:val="none"/>
                <w:lang w:val="en-US" w:eastAsia="zh-CN" w:bidi="ar-SA"/>
              </w:rPr>
            </w:pPr>
            <w:r>
              <w:rPr>
                <w:rFonts w:hint="eastAsia" w:ascii="宋体" w:hAnsi="宋体" w:eastAsia="宋体" w:cs="Times New Roman"/>
                <w:b/>
                <w:sz w:val="24"/>
                <w:szCs w:val="24"/>
                <w:highlight w:val="none"/>
                <w:u w:val="none"/>
                <w:lang w:val="en-US" w:eastAsia="zh-CN" w:bidi="ar-SA"/>
              </w:rPr>
              <w:t xml:space="preserve">联系</w:t>
            </w:r>
            <w:r/>
          </w:p>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Times New Roman"/>
                <w:b/>
                <w:sz w:val="24"/>
                <w:szCs w:val="24"/>
                <w:highlight w:val="none"/>
                <w:u w:val="none"/>
                <w:lang w:val="en-US" w:eastAsia="zh-CN" w:bidi="ar-SA"/>
              </w:rPr>
              <w:t xml:space="preserve">方式</w:t>
            </w:r>
            <w:r/>
          </w:p>
        </w:tc>
        <w:tc>
          <w:tcPr>
            <w:tcW w:w="1464"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w:t>
            </w:r>
            <w:r/>
          </w:p>
        </w:tc>
        <w:tc>
          <w:tcPr>
            <w:tcW w:w="6677" w:type="dxa"/>
            <w:vAlign w:val="center"/>
            <w:textDirection w:val="lrTb"/>
            <w:noWrap w:val="false"/>
          </w:tcPr>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项目负责人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蒋先生</w:t>
            </w:r>
            <w:r/>
          </w:p>
          <w:p>
            <w:pPr>
              <w:jc w:val="left"/>
              <w:keepLines w:val="0"/>
              <w:keepNext w:val="0"/>
              <w:pageBreakBefore w:val="0"/>
              <w:spacing w:line="400" w:lineRule="exact"/>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质疑受理人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蒋先生</w:t>
            </w:r>
            <w:r/>
          </w:p>
          <w:p>
            <w:pPr>
              <w:jc w:val="left"/>
              <w:keepLines w:val="0"/>
              <w:keepNext w:val="0"/>
              <w:pageBreakBefore w:val="0"/>
              <w:spacing w:line="400" w:lineRule="exact"/>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联系电话：</w:t>
            </w:r>
            <w:r>
              <w:rPr>
                <w:rFonts w:hint="eastAsia" w:ascii="宋体" w:hAnsi="宋体"/>
                <w:bCs/>
                <w:color w:val="000000"/>
                <w:sz w:val="24"/>
                <w:szCs w:val="24"/>
                <w:highlight w:val="none"/>
                <w:lang w:val="en-US" w:eastAsia="zh-CN"/>
              </w:rPr>
              <w:t xml:space="preserve">13921379620</w:t>
            </w:r>
            <w:r/>
          </w:p>
        </w:tc>
      </w:tr>
      <w:tr>
        <w:trPr>
          <w:jc w:val="center"/>
          <w:trHeight w:val="613"/>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6677" w:type="dxa"/>
            <w:vAlign w:val="center"/>
            <w:textDirection w:val="lrTb"/>
            <w:noWrap w:val="false"/>
          </w:tcPr>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联系地址：</w:t>
            </w:r>
            <w:r>
              <w:rPr>
                <w:rFonts w:hint="eastAsia" w:ascii="宋体" w:hAnsi="宋体" w:cs="宋体"/>
                <w:bCs/>
                <w:sz w:val="24"/>
                <w:szCs w:val="24"/>
                <w:highlight w:val="none"/>
                <w:lang w:val="en-US" w:eastAsia="zh-CN"/>
              </w:rPr>
              <w:t xml:space="preserve">宜兴市周铁镇彭干村余家桥</w:t>
            </w:r>
            <w:r/>
          </w:p>
          <w:p>
            <w:pPr>
              <w:jc w:val="left"/>
              <w:keepLines w:val="0"/>
              <w:keepNext w:val="0"/>
              <w:pageBreakBefore w:val="0"/>
              <w:spacing w:line="400" w:lineRule="exact"/>
              <w:widowControl w:val="off"/>
              <w:tabs>
                <w:tab w:val="left" w:pos="3763"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邮政编码：214200</w:t>
            </w:r>
            <w:r>
              <w:rPr>
                <w:rFonts w:hint="eastAsia" w:ascii="宋体" w:hAnsi="宋体" w:cs="宋体"/>
                <w:bCs/>
                <w:sz w:val="24"/>
                <w:szCs w:val="24"/>
                <w:highlight w:val="none"/>
                <w:lang w:eastAsia="zh-CN"/>
              </w:rPr>
              <w:tab/>
            </w:r>
            <w:r/>
          </w:p>
        </w:tc>
      </w:tr>
      <w:tr>
        <w:trPr>
          <w:jc w:val="center"/>
          <w:trHeight w:val="238"/>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采购代理机构</w:t>
            </w:r>
            <w:r/>
          </w:p>
        </w:tc>
        <w:tc>
          <w:tcPr>
            <w:tcW w:w="667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联系人：</w:t>
            </w:r>
            <w:r>
              <w:rPr>
                <w:rFonts w:hint="eastAsia" w:ascii="宋体" w:hAnsi="宋体" w:cs="宋体"/>
                <w:bCs/>
                <w:sz w:val="24"/>
                <w:szCs w:val="24"/>
                <w:highlight w:val="none"/>
                <w:lang w:val="en-US" w:eastAsia="zh-CN"/>
              </w:rPr>
              <w:t xml:space="preserve">欧女士</w:t>
            </w:r>
            <w:r/>
          </w:p>
          <w:p>
            <w:pPr>
              <w:jc w:val="left"/>
              <w:keepLines w:val="0"/>
              <w:keepNext w:val="0"/>
              <w:pageBreakBefore w:val="0"/>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联系号码：</w:t>
            </w:r>
            <w:r>
              <w:rPr>
                <w:rFonts w:hint="eastAsia" w:ascii="宋体" w:hAnsi="宋体" w:cs="宋体"/>
                <w:bCs/>
                <w:sz w:val="24"/>
                <w:szCs w:val="24"/>
                <w:highlight w:val="none"/>
                <w:lang w:val="en-US" w:eastAsia="zh-CN"/>
              </w:rPr>
              <w:t xml:space="preserve">0510-68660872</w:t>
            </w:r>
            <w:r/>
          </w:p>
          <w:p>
            <w:pPr>
              <w:jc w:val="left"/>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联系地址：</w:t>
            </w:r>
            <w:r>
              <w:rPr>
                <w:rFonts w:hint="eastAsia" w:ascii="宋体" w:hAnsi="宋体"/>
                <w:bCs/>
                <w:sz w:val="24"/>
                <w:szCs w:val="24"/>
              </w:rPr>
              <w:t xml:space="preserve">宜兴市环科园兴业路298号B座</w:t>
            </w:r>
            <w:r/>
          </w:p>
          <w:p>
            <w:pPr>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邮政编码：214200</w:t>
            </w:r>
            <w:r/>
          </w:p>
        </w:tc>
      </w:tr>
      <w:tr>
        <w:trPr>
          <w:jc w:val="center"/>
          <w:trHeight w:val="238"/>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Cs/>
                <w:color w:val="auto"/>
                <w:sz w:val="24"/>
                <w:szCs w:val="24"/>
                <w:highlight w:val="none"/>
              </w:rPr>
              <w:t xml:space="preserve">客服</w:t>
            </w:r>
            <w:r/>
          </w:p>
        </w:tc>
        <w:tc>
          <w:tcPr>
            <w:tcW w:w="6677" w:type="dxa"/>
            <w:vAlign w:val="center"/>
            <w:textDirection w:val="lrTb"/>
            <w:noWrap w:val="false"/>
          </w:tcPr>
          <w:p>
            <w:pPr>
              <w:jc w:val="left"/>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966" w:type="dxa"/>
            <w:vAlign w:val="top"/>
            <w:vMerge w:val="continue"/>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146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财政监管部门</w:t>
            </w:r>
            <w:r/>
          </w:p>
        </w:tc>
        <w:tc>
          <w:tcPr>
            <w:tcW w:w="6677" w:type="dxa"/>
            <w:vAlign w:val="top"/>
            <w:textDirection w:val="lrTb"/>
            <w:noWrap w:val="false"/>
          </w:tcPr>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 宜兴市财政局                   </w:t>
            </w:r>
            <w:r/>
          </w:p>
          <w:p>
            <w:pPr>
              <w:jc w:val="left"/>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联系地址：宜兴市荆溪中路35号五局大院内</w:t>
            </w:r>
            <w:bookmarkEnd w:id="1"/>
            <w:r/>
            <w:bookmarkEnd w:id="5"/>
            <w:r/>
            <w:r/>
          </w:p>
        </w:tc>
      </w:tr>
    </w:tbl>
    <w:p>
      <w:pPr>
        <w:pStyle w:val="1049"/>
        <w:rPr>
          <w:rFonts w:hint="eastAsia"/>
          <w:highlight w:val="none"/>
        </w:rPr>
        <w:sectPr>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pPr>
      <w:r>
        <w:rPr>
          <w:rFonts w:hint="eastAsia"/>
          <w:highlight w:val="none"/>
        </w:rPr>
      </w:r>
      <w:r/>
    </w:p>
    <w:p>
      <w:pPr>
        <w:pStyle w:val="1049"/>
        <w:spacing w:line="360" w:lineRule="auto"/>
        <w:rPr>
          <w:rFonts w:hint="eastAsia"/>
          <w:highlight w:val="none"/>
        </w:rPr>
      </w:pPr>
      <w:r/>
      <w:bookmarkStart w:id="6" w:name="_Toc29279"/>
      <w:r>
        <w:rPr>
          <w:rFonts w:hint="eastAsia"/>
          <w:highlight w:val="none"/>
        </w:rPr>
        <w:t xml:space="preserve">第二章 投标人须知</w:t>
      </w:r>
      <w:bookmarkEnd w:id="6"/>
      <w:r/>
      <w:r/>
    </w:p>
    <w:p>
      <w:pPr>
        <w:ind w:firstLine="482"/>
        <w:spacing w:line="360" w:lineRule="auto"/>
        <w:rPr>
          <w:rFonts w:hint="eastAsia" w:ascii="宋体" w:hAnsi="宋体"/>
          <w:b/>
          <w:color w:val="000000"/>
          <w:sz w:val="24"/>
          <w:szCs w:val="24"/>
          <w:highlight w:val="none"/>
          <w:lang w:val="zh-CN"/>
        </w:rPr>
      </w:pPr>
      <w:r/>
      <w:bookmarkStart w:id="7" w:name="_Toc19590"/>
      <w:r>
        <w:rPr>
          <w:rFonts w:hint="eastAsia" w:ascii="宋体" w:hAnsi="宋体"/>
          <w:b/>
          <w:color w:val="000000"/>
          <w:sz w:val="24"/>
          <w:szCs w:val="24"/>
          <w:highlight w:val="none"/>
          <w:lang w:val="zh-CN"/>
        </w:rPr>
        <w:t xml:space="preserve">一、总   则</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8"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8"/>
      <w:r>
        <w:rPr>
          <w:rFonts w:hint="eastAsia" w:ascii="宋体" w:hAnsi="宋体"/>
          <w:bCs/>
          <w:color w:val="000000"/>
          <w:sz w:val="24"/>
          <w:szCs w:val="24"/>
          <w:highlight w:val="none"/>
        </w:rPr>
        <w:t xml:space="preserve">；</w:t>
      </w:r>
      <w:bookmarkStart w:id="9"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0"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“产品”“货物”为同一意思，指招标文件中所述产品（含配件）及相关服务。</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
          <w:bCs w:val="0"/>
          <w:color w:val="000000"/>
          <w:sz w:val="24"/>
          <w:szCs w:val="24"/>
          <w:highlight w:val="none"/>
          <w:lang w:val="zh-CN"/>
        </w:rPr>
      </w:pPr>
      <w:r/>
      <w:bookmarkStart w:id="11" w:name="_Hlk151624258"/>
      <w:r/>
      <w:bookmarkStart w:id="12" w:name="_Hlk151624234"/>
      <w:r>
        <w:rPr>
          <w:rFonts w:hint="eastAsia" w:ascii="宋体" w:hAnsi="宋体"/>
          <w:b/>
          <w:bCs w:val="0"/>
          <w:color w:val="000000"/>
          <w:sz w:val="24"/>
          <w:szCs w:val="24"/>
          <w:highlight w:val="none"/>
          <w:lang w:val="zh-CN"/>
        </w:rPr>
        <w:t xml:space="preserve">3、政府采购政策</w:t>
      </w:r>
      <w:r/>
    </w:p>
    <w:p>
      <w:pPr>
        <w:ind w:firstLine="480"/>
        <w:jc w:val="left"/>
        <w:spacing w:line="360" w:lineRule="auto"/>
        <w:rPr>
          <w:rFonts w:ascii="宋体" w:hAnsi="宋体"/>
          <w:bCs/>
          <w:color w:val="000000"/>
          <w:sz w:val="24"/>
          <w:szCs w:val="24"/>
          <w:highlight w:val="none"/>
        </w:rPr>
      </w:pPr>
      <w:r/>
      <w:bookmarkStart w:id="13" w:name="_Hlk151625314"/>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p>
    <w:p>
      <w:pPr>
        <w:ind w:firstLine="480"/>
        <w:jc w:val="left"/>
        <w:spacing w:line="360" w:lineRule="auto"/>
        <w:rPr>
          <w:rFonts w:ascii="宋体" w:hAnsi="宋体" w:cs="宋体"/>
          <w:bCs/>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bCs/>
          <w:color w:val="000000"/>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.2.2</w:t>
      </w:r>
      <w:r>
        <w:rPr>
          <w:rFonts w:hint="eastAsia" w:ascii="宋体" w:hAnsi="宋体" w:cs="宋体"/>
          <w:bCs/>
          <w:color w:val="000000"/>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4" w:name="_Hlk161824916"/>
      <w:r>
        <w:rPr>
          <w:rFonts w:hint="eastAsia" w:ascii="宋体" w:hAnsi="宋体" w:cs="宋体"/>
          <w:bCs/>
          <w:color w:val="000000"/>
          <w:sz w:val="24"/>
          <w:highlight w:val="none"/>
        </w:rPr>
        <w:t xml:space="preserve">根据采购项目类型，若为货物类项目，只对货物的制造商是否为中小企业进行认定，不再对投标人提供的配套服务作出要求。</w:t>
      </w:r>
      <w:bookmarkEnd w:id="14"/>
      <w:r/>
      <w:r/>
    </w:p>
    <w:p>
      <w:pPr>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highlight w:val="none"/>
        </w:rPr>
        <w:t xml:space="preserve">接受大中型企业与小微企业组成联合体或者允许大中型企业向一家或者多家小微企业分包的政府采购货物项目，对于</w:t>
      </w:r>
      <w:bookmarkStart w:id="15" w:name="_Hlk101132181"/>
      <w:r>
        <w:rPr>
          <w:rFonts w:hint="eastAsia" w:ascii="宋体" w:hAnsi="宋体" w:cs="宋体"/>
          <w:bCs/>
          <w:color w:val="000000"/>
          <w:sz w:val="24"/>
          <w:highlight w:val="none"/>
        </w:rPr>
        <w:t xml:space="preserve">联合协议或者分包意向协议约定小微企业的合同份额占到合同总金额30%及以上的</w:t>
      </w:r>
      <w:bookmarkEnd w:id="15"/>
      <w:r>
        <w:rPr>
          <w:rFonts w:hint="eastAsia" w:ascii="宋体" w:hAnsi="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u w:val="none"/>
        </w:rPr>
        <w:t xml:space="preserve">3.</w:t>
      </w:r>
      <w:r>
        <w:rPr>
          <w:rFonts w:ascii="宋体" w:hAnsi="宋体"/>
          <w:bCs/>
          <w:color w:val="000000"/>
          <w:sz w:val="24"/>
          <w:szCs w:val="24"/>
          <w:highlight w:val="none"/>
          <w:u w:val="none"/>
        </w:rPr>
        <w:t xml:space="preserve">2</w:t>
      </w:r>
      <w:r>
        <w:rPr>
          <w:rFonts w:hint="eastAsia" w:ascii="宋体" w:hAnsi="宋体"/>
          <w:bCs/>
          <w:color w:val="000000"/>
          <w:sz w:val="24"/>
          <w:szCs w:val="24"/>
          <w:highlight w:val="none"/>
          <w:u w:val="none"/>
        </w:rPr>
        <w:t xml:space="preserve">.</w:t>
      </w:r>
      <w:r>
        <w:rPr>
          <w:rFonts w:ascii="宋体" w:hAnsi="宋体"/>
          <w:bCs/>
          <w:color w:val="000000"/>
          <w:sz w:val="24"/>
          <w:szCs w:val="24"/>
          <w:highlight w:val="none"/>
          <w:u w:val="none"/>
        </w:rPr>
        <w:t xml:space="preserve">4</w:t>
      </w:r>
      <w:r>
        <w:rPr>
          <w:rFonts w:hint="eastAsia" w:ascii="宋体" w:hAnsi="宋体"/>
          <w:bCs/>
          <w:color w:val="000000"/>
          <w:sz w:val="24"/>
          <w:szCs w:val="24"/>
          <w:highlight w:val="none"/>
          <w:u w:val="none"/>
        </w:rPr>
        <w:t xml:space="preserve"> </w:t>
      </w:r>
      <w:r>
        <w:rPr>
          <w:rFonts w:hint="eastAsia" w:ascii="宋体" w:hAnsi="宋体" w:cs="宋体"/>
          <w:bCs/>
          <w:color w:val="000000"/>
          <w:sz w:val="24"/>
          <w:highlight w:val="none"/>
          <w:u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highlight w:val="none"/>
          <w:u w:val="none"/>
        </w:rPr>
        <w:t xml:space="preserve">投标人</w:t>
      </w:r>
      <w:r>
        <w:rPr>
          <w:rFonts w:hint="eastAsia" w:ascii="宋体" w:hAnsi="宋体"/>
          <w:bCs/>
          <w:color w:val="000000"/>
          <w:sz w:val="24"/>
          <w:szCs w:val="24"/>
          <w:highlight w:val="none"/>
          <w:u w:val="none"/>
        </w:rPr>
        <w:t xml:space="preserve">应按照中小企业声明格式准确完整填写相关内容，其中《中小企业声明函》</w:t>
      </w:r>
      <w:bookmarkStart w:id="16" w:name="_Hlk160697267"/>
      <w:r>
        <w:rPr>
          <w:rFonts w:hint="eastAsia" w:ascii="宋体" w:hAnsi="宋体"/>
          <w:bCs/>
          <w:color w:val="000000"/>
          <w:sz w:val="24"/>
          <w:szCs w:val="24"/>
          <w:highlight w:val="none"/>
          <w:u w:val="none"/>
        </w:rPr>
        <w:t xml:space="preserve">须按“项目技术要求和有关说明”中</w:t>
      </w:r>
      <w:bookmarkStart w:id="17" w:name="_Hlk164238594"/>
      <w:r>
        <w:rPr>
          <w:rFonts w:hint="eastAsia" w:ascii="宋体" w:hAnsi="宋体"/>
          <w:bCs/>
          <w:color w:val="000000"/>
          <w:sz w:val="24"/>
          <w:szCs w:val="24"/>
          <w:highlight w:val="none"/>
          <w:u w:val="none"/>
        </w:rPr>
        <w:t xml:space="preserve">采购标的明细及所属行业等内容逐一进行填报</w:t>
      </w:r>
      <w:bookmarkEnd w:id="17"/>
      <w:r>
        <w:rPr>
          <w:rFonts w:hint="eastAsia" w:ascii="宋体" w:hAnsi="宋体"/>
          <w:bCs/>
          <w:color w:val="000000"/>
          <w:sz w:val="24"/>
          <w:szCs w:val="24"/>
          <w:highlight w:val="none"/>
          <w:u w:val="none"/>
        </w:rPr>
        <w:t xml:space="preserve">，并明确相关企业类型（中型、小型或微型），否则中小企业声明函无效。</w:t>
      </w:r>
      <w:bookmarkEnd w:id="16"/>
      <w:r>
        <w:rPr>
          <w:rFonts w:hint="eastAsia" w:ascii="宋体" w:hAnsi="宋体"/>
          <w:bCs/>
          <w:color w:val="000000"/>
          <w:sz w:val="24"/>
          <w:szCs w:val="24"/>
          <w:highlight w:val="none"/>
          <w:u w:val="none"/>
        </w:rPr>
        <w:t xml:space="preserve">新成立企业时间认定以相关部门颁发证书的发证、登记</w:t>
      </w:r>
      <w:r>
        <w:rPr>
          <w:rFonts w:hint="eastAsia" w:ascii="宋体" w:hAnsi="宋体"/>
          <w:bCs/>
          <w:color w:val="000000"/>
          <w:sz w:val="24"/>
          <w:szCs w:val="24"/>
          <w:highlight w:val="none"/>
        </w:rPr>
        <w:t xml:space="preserve">日期为准，应提供相关证书，否则不予认可。</w:t>
      </w:r>
      <w:r>
        <w:rPr>
          <w:rFonts w:hint="eastAsia" w:ascii="宋体" w:hAnsi="宋体" w:cs="宋体"/>
          <w:bCs/>
          <w:color w:val="000000"/>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符合《关于政府采购支持监狱企业发展有关问题的通知》（财库〔201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8" w:name="_Hlk159419640"/>
      <w:r>
        <w:rPr>
          <w:rFonts w:hint="eastAsia" w:ascii="宋体" w:hAnsi="宋体"/>
          <w:bCs/>
          <w:color w:val="000000"/>
          <w:sz w:val="24"/>
          <w:szCs w:val="24"/>
          <w:highlight w:val="none"/>
        </w:rPr>
        <w:t xml:space="preserve">若投标人提供的货物</w:t>
      </w:r>
      <w:bookmarkEnd w:id="18"/>
      <w:r>
        <w:rPr>
          <w:rFonts w:hint="eastAsia" w:ascii="宋体" w:hAnsi="宋体"/>
          <w:bCs/>
          <w:color w:val="000000"/>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优先采购及其他政府采购政策按相关文件规定执行。</w:t>
      </w:r>
      <w:bookmarkEnd w:id="12"/>
      <w:r/>
      <w:bookmarkEnd w:id="13"/>
      <w:r/>
      <w:r/>
    </w:p>
    <w:p>
      <w:pPr>
        <w:numPr>
          <w:ilvl w:val="0"/>
          <w:numId w:val="2"/>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投标费用</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w:t>
      </w:r>
      <w:r>
        <w:rPr>
          <w:rFonts w:hint="eastAsia" w:ascii="宋体" w:hAnsi="宋体" w:eastAsia="宋体" w:cs="宋体"/>
          <w:bCs/>
          <w:sz w:val="24"/>
          <w:szCs w:val="24"/>
          <w:highlight w:val="none"/>
          <w:lang w:val="en-US" w:eastAsia="zh-CN"/>
        </w:rPr>
        <w:t xml:space="preserve">招标</w:t>
      </w:r>
      <w:r>
        <w:rPr>
          <w:rFonts w:hint="eastAsia" w:ascii="宋体" w:hAnsi="宋体" w:eastAsia="宋体" w:cs="宋体"/>
          <w:bCs/>
          <w:sz w:val="24"/>
          <w:szCs w:val="24"/>
          <w:highlight w:val="none"/>
        </w:rPr>
        <w:t xml:space="preserve">文件中的货币单位均为人民币元。</w:t>
      </w:r>
      <w:r/>
    </w:p>
    <w:p>
      <w:pPr>
        <w:ind w:firstLine="480"/>
        <w:spacing w:line="360" w:lineRule="auto"/>
        <w:rPr>
          <w:rFonts w:hint="eastAsia" w:ascii="宋体" w:hAnsi="宋体" w:eastAsia="宋体" w:cs="宋体"/>
          <w:bCs/>
          <w:sz w:val="24"/>
          <w:szCs w:val="24"/>
          <w:highlight w:val="none"/>
        </w:rPr>
      </w:pPr>
      <w:r/>
      <w:bookmarkStart w:id="19" w:name="OLE_LINK88"/>
      <w:r>
        <w:rPr>
          <w:rFonts w:hint="eastAsia" w:ascii="宋体" w:hAnsi="宋体" w:eastAsia="宋体" w:cs="宋体"/>
          <w:bCs/>
          <w:color w:val="000000"/>
          <w:sz w:val="24"/>
          <w:szCs w:val="24"/>
          <w:highlight w:val="none"/>
        </w:rPr>
        <w:t xml:space="preserve">4.2 </w:t>
      </w:r>
      <w:bookmarkEnd w:id="19"/>
      <w:r>
        <w:rPr>
          <w:rFonts w:hint="eastAsia" w:ascii="宋体" w:hAnsi="宋体" w:eastAsia="宋体" w:cs="宋体"/>
          <w:bCs/>
          <w:color w:val="000000"/>
          <w:sz w:val="24"/>
          <w:szCs w:val="24"/>
          <w:highlight w:val="none"/>
        </w:rPr>
        <w:t xml:space="preserve">供应商应自行承担所有与准备和参加报价有关的一切费用</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4.3 </w:t>
      </w:r>
      <w:r>
        <w:rPr>
          <w:rFonts w:hint="eastAsia" w:ascii="宋体" w:hAnsi="宋体" w:cs="宋体"/>
          <w:bCs/>
          <w:color w:val="auto"/>
          <w:sz w:val="24"/>
          <w:szCs w:val="24"/>
          <w:highlight w:val="none"/>
          <w:lang w:val="en-US" w:eastAsia="zh-CN"/>
        </w:rPr>
        <w:t xml:space="preserve">招标代理费</w:t>
      </w:r>
      <w:r>
        <w:rPr>
          <w:rFonts w:hint="eastAsia" w:ascii="宋体" w:hAnsi="宋体" w:eastAsia="宋体" w:cs="宋体"/>
          <w:bCs/>
          <w:color w:val="auto"/>
          <w:sz w:val="24"/>
          <w:szCs w:val="24"/>
          <w:highlight w:val="none"/>
          <w:lang w:val="en-US"/>
        </w:rPr>
        <w:t xml:space="preserve">收费标准:</w:t>
      </w:r>
      <w:r>
        <w:rPr>
          <w:rFonts w:hint="eastAsia" w:ascii="宋体" w:hAnsi="宋体" w:eastAsia="宋体" w:cs="Times New Roman"/>
          <w:bCs/>
          <w:color w:val="auto"/>
          <w:sz w:val="24"/>
          <w:szCs w:val="24"/>
          <w:highlight w:val="none"/>
          <w:lang w:val="en-US" w:eastAsia="zh-CN"/>
        </w:rPr>
        <w:t xml:space="preserve">招标代理服务费等费用由</w:t>
      </w:r>
      <w:r>
        <w:rPr>
          <w:rFonts w:hint="eastAsia" w:ascii="宋体" w:hAnsi="宋体" w:cs="Times New Roman"/>
          <w:bCs/>
          <w:color w:val="auto"/>
          <w:sz w:val="24"/>
          <w:szCs w:val="24"/>
          <w:highlight w:val="none"/>
          <w:lang w:val="en-US" w:eastAsia="zh-CN"/>
        </w:rPr>
        <w:t xml:space="preserve">中标供应商</w:t>
      </w:r>
      <w:r>
        <w:rPr>
          <w:rFonts w:hint="eastAsia" w:ascii="宋体" w:hAnsi="宋体" w:eastAsia="宋体" w:cs="Times New Roman"/>
          <w:bCs/>
          <w:color w:val="auto"/>
          <w:sz w:val="24"/>
          <w:szCs w:val="24"/>
          <w:highlight w:val="none"/>
          <w:lang w:val="en-US" w:eastAsia="zh-CN"/>
        </w:rPr>
        <w:t xml:space="preserve">支付，</w:t>
      </w:r>
      <w:r>
        <w:rPr>
          <w:rFonts w:hint="eastAsia" w:ascii="宋体" w:hAnsi="宋体" w:cs="Times New Roman"/>
          <w:bCs/>
          <w:color w:val="auto"/>
          <w:sz w:val="24"/>
          <w:szCs w:val="24"/>
          <w:highlight w:val="none"/>
          <w:lang w:val="en-US" w:eastAsia="zh-CN"/>
        </w:rPr>
        <w:t xml:space="preserve">按</w:t>
      </w:r>
      <w:r>
        <w:rPr>
          <w:rFonts w:hint="eastAsia" w:ascii="宋体" w:hAnsi="宋体" w:eastAsia="宋体" w:cs="Times New Roman"/>
          <w:bCs/>
          <w:color w:val="auto"/>
          <w:sz w:val="24"/>
          <w:szCs w:val="24"/>
          <w:highlight w:val="none"/>
          <w:lang w:val="en-US" w:eastAsia="zh-CN"/>
        </w:rPr>
        <w:t xml:space="preserve">国家计委计价格[2002]1980号文件规定计取，由</w:t>
      </w: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en-US" w:eastAsia="zh-CN"/>
        </w:rPr>
        <w:t xml:space="preserve">供应商在领取</w:t>
      </w: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en-US" w:eastAsia="zh-CN"/>
        </w:rPr>
        <w:t xml:space="preserve">通知书</w:t>
      </w:r>
      <w:r>
        <w:rPr>
          <w:rFonts w:hint="eastAsia" w:ascii="宋体" w:hAnsi="宋体" w:cs="Times New Roman"/>
          <w:bCs/>
          <w:color w:val="auto"/>
          <w:sz w:val="24"/>
          <w:szCs w:val="24"/>
          <w:highlight w:val="none"/>
          <w:lang w:val="en-US" w:eastAsia="zh-CN"/>
        </w:rPr>
        <w:t xml:space="preserve">后</w:t>
      </w:r>
      <w:r>
        <w:rPr>
          <w:rFonts w:hint="eastAsia" w:ascii="宋体" w:hAnsi="宋体" w:eastAsia="宋体" w:cs="Times New Roman"/>
          <w:bCs/>
          <w:color w:val="auto"/>
          <w:sz w:val="24"/>
          <w:szCs w:val="24"/>
          <w:highlight w:val="none"/>
          <w:lang w:val="en-US" w:eastAsia="zh-CN"/>
        </w:rPr>
        <w:t xml:space="preserve">一次性付清。</w:t>
      </w:r>
      <w:r/>
    </w:p>
    <w:p>
      <w:pPr>
        <w:numPr>
          <w:ilvl w:val="0"/>
          <w:numId w:val="2"/>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0"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0"/>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1" w:name="OLE_LINK253"/>
      <w:r>
        <w:rPr>
          <w:rFonts w:hint="eastAsia" w:ascii="宋体" w:hAnsi="宋体"/>
          <w:bCs/>
          <w:color w:val="000000"/>
          <w:sz w:val="24"/>
          <w:szCs w:val="24"/>
          <w:highlight w:val="none"/>
        </w:rPr>
        <w:t xml:space="preserve">采购人或者</w:t>
      </w:r>
      <w:bookmarkEnd w:id="21"/>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本文件和“第三章 项目技术要求和有关说明”和“</w:t>
      </w:r>
      <w:bookmarkStart w:id="22" w:name="OLE_LINK21"/>
      <w:r>
        <w:rPr>
          <w:rFonts w:hint="eastAsia" w:ascii="宋体" w:hAnsi="宋体"/>
          <w:bCs/>
          <w:color w:val="000000"/>
          <w:sz w:val="24"/>
          <w:szCs w:val="24"/>
          <w:highlight w:val="none"/>
        </w:rPr>
        <w:t xml:space="preserve">第四章 评标方法和标准</w:t>
      </w:r>
      <w:bookmarkEnd w:id="22"/>
      <w:r>
        <w:rPr>
          <w:rFonts w:hint="eastAsia" w:ascii="宋体" w:hAnsi="宋体"/>
          <w:bCs/>
          <w:color w:val="000000"/>
          <w:sz w:val="24"/>
          <w:szCs w:val="24"/>
          <w:highlight w:val="none"/>
        </w:rPr>
        <w:t xml:space="preserve">”由</w:t>
      </w:r>
      <w:bookmarkStart w:id="23" w:name="OLE_LINK13"/>
      <w:r>
        <w:rPr>
          <w:rFonts w:hint="eastAsia" w:ascii="宋体" w:hAnsi="宋体"/>
          <w:bCs/>
          <w:color w:val="000000"/>
          <w:sz w:val="24"/>
          <w:szCs w:val="24"/>
          <w:highlight w:val="none"/>
        </w:rPr>
        <w:t xml:space="preserve">采购人负责解释</w:t>
      </w:r>
      <w:bookmarkEnd w:id="23"/>
      <w:r>
        <w:rPr>
          <w:rFonts w:hint="eastAsia" w:ascii="宋体" w:hAnsi="宋体"/>
          <w:bCs/>
          <w:color w:val="000000"/>
          <w:sz w:val="24"/>
          <w:szCs w:val="24"/>
          <w:highlight w:val="none"/>
        </w:rPr>
        <w:t xml:space="preserve">，其他部分由采购人和</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机构负责解释。</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p>
    <w:p>
      <w:pPr>
        <w:ind w:firstLine="480"/>
        <w:spacing w:line="360" w:lineRule="auto"/>
        <w:rPr>
          <w:rFonts w:hint="eastAsia" w:ascii="宋体"/>
          <w:color w:val="000000"/>
          <w:sz w:val="24"/>
          <w:szCs w:val="21"/>
          <w:highlight w:val="none"/>
          <w:lang w:val="zh-CN"/>
        </w:rPr>
      </w:pPr>
      <w:r>
        <w:rPr>
          <w:rFonts w:hint="eastAsia" w:ascii="宋体" w:hAnsi="宋体"/>
          <w:bCs/>
          <w:color w:val="000000"/>
          <w:sz w:val="24"/>
          <w:szCs w:val="24"/>
          <w:highlight w:val="none"/>
        </w:rPr>
        <w:t xml:space="preserve">8.1 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szCs w:val="24"/>
          <w:highlight w:val="none"/>
          <w:lang w:val="zh-CN"/>
        </w:rPr>
        <w:t xml:space="preserve">对已发出的招标文件进行必要澄清或者修改的，将在投标截止时间</w:t>
      </w:r>
      <w:r>
        <w:rPr>
          <w:rFonts w:hint="eastAsia"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日前</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在原招标公告媒体发布更正公告，</w:t>
      </w:r>
      <w:r>
        <w:rPr>
          <w:rFonts w:hint="eastAsia" w:ascii="宋体"/>
          <w:color w:val="000000"/>
          <w:sz w:val="24"/>
          <w:szCs w:val="21"/>
          <w:highlight w:val="none"/>
          <w:lang w:val="zh-CN"/>
        </w:rPr>
        <w:t xml:space="preserve">并</w:t>
      </w:r>
      <w:r>
        <w:rPr>
          <w:rFonts w:ascii="宋体" w:hAnsi="宋体"/>
          <w:color w:val="000000"/>
          <w:sz w:val="24"/>
          <w:szCs w:val="21"/>
          <w:highlight w:val="none"/>
          <w:lang w:val="zh-CN"/>
        </w:rPr>
        <w:t xml:space="preserve">在系统中以书面形式通知所有已获取招标文件的潜在</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请登录系统查看相应内容</w:t>
      </w:r>
      <w:r>
        <w:rPr>
          <w:rFonts w:hint="eastAsia" w:ascii="宋体"/>
          <w:color w:val="000000"/>
          <w:sz w:val="24"/>
          <w:szCs w:val="21"/>
          <w:highlight w:val="none"/>
          <w:lang w:val="zh-CN"/>
        </w:rPr>
        <w:t xml:space="preserve">。</w:t>
      </w:r>
      <w:r>
        <w:rPr>
          <w:rFonts w:hint="eastAsia" w:ascii="宋体" w:hAnsi="宋体"/>
          <w:bCs/>
          <w:color w:val="000000"/>
          <w:sz w:val="24"/>
          <w:szCs w:val="24"/>
          <w:highlight w:val="none"/>
          <w:lang w:val="zh-CN"/>
        </w:rPr>
        <w:t xml:space="preserve">不足</w:t>
      </w:r>
      <w:r>
        <w:rPr>
          <w:rFonts w:hint="eastAsia" w:ascii="宋体" w:hAnsi="宋体"/>
          <w:bCs/>
          <w:color w:val="000000"/>
          <w:sz w:val="24"/>
          <w:szCs w:val="24"/>
          <w:highlight w:val="none"/>
        </w:rPr>
        <w:t xml:space="preserve">15日的，采购人或者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8.2 </w:t>
      </w:r>
      <w:r>
        <w:rPr>
          <w:rFonts w:ascii="宋体" w:hAnsi="宋体"/>
          <w:color w:val="000000"/>
          <w:sz w:val="24"/>
          <w:szCs w:val="21"/>
          <w:highlight w:val="none"/>
          <w:lang w:val="zh-CN"/>
        </w:rPr>
        <w:t xml:space="preserve">如澄清或修改公告有重新发布电子招标文件的，</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应下载最新发布的电子招标文件制作</w:t>
      </w:r>
      <w:r>
        <w:rPr>
          <w:rFonts w:hint="eastAsia" w:ascii="宋体" w:hAnsi="宋体"/>
          <w:color w:val="000000"/>
          <w:sz w:val="24"/>
          <w:szCs w:val="21"/>
          <w:highlight w:val="none"/>
          <w:lang w:val="zh-CN"/>
        </w:rPr>
        <w:t xml:space="preserve">投标</w:t>
      </w:r>
      <w:r>
        <w:rPr>
          <w:rFonts w:ascii="宋体" w:hAnsi="宋体"/>
          <w:color w:val="000000"/>
          <w:sz w:val="24"/>
          <w:szCs w:val="21"/>
          <w:highlight w:val="none"/>
          <w:lang w:val="zh-CN"/>
        </w:rPr>
        <w:t xml:space="preserve">文件。因</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自身原因未能及时获取的，一切后果由供应商自行承担。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9、投标文件的组成：对应第六章投标文件（格式）。</w:t>
      </w:r>
      <w:r/>
    </w:p>
    <w:p>
      <w:pPr>
        <w:numPr>
          <w:ilvl w:val="0"/>
          <w:numId w:val="3"/>
        </w:numPr>
        <w:spacing w:line="360" w:lineRule="auto"/>
        <w:tabs>
          <w:tab w:val="left" w:pos="0" w:leader="none"/>
          <w:tab w:val="left" w:pos="255" w:leader="none"/>
        </w:tabs>
        <w:rPr>
          <w:rFonts w:hint="eastAsia" w:ascii="宋体" w:hAnsi="宋体"/>
          <w:b/>
          <w:bCs/>
          <w:color w:val="000000"/>
          <w:sz w:val="24"/>
          <w:szCs w:val="24"/>
          <w:highlight w:val="none"/>
          <w:lang w:val="zh-CN"/>
        </w:rPr>
      </w:pPr>
      <w:r/>
      <w:bookmarkStart w:id="24" w:name="OLE_LINK51"/>
      <w:r>
        <w:rPr>
          <w:rFonts w:hint="eastAsia" w:ascii="宋体" w:hAnsi="宋体"/>
          <w:b/>
          <w:bCs/>
          <w:color w:val="000000"/>
          <w:sz w:val="24"/>
          <w:szCs w:val="24"/>
          <w:highlight w:val="none"/>
          <w:lang w:val="zh-CN"/>
        </w:rPr>
        <w:t xml:space="preserve">开标一览表</w:t>
      </w:r>
      <w:r/>
    </w:p>
    <w:p>
      <w:pPr>
        <w:numPr>
          <w:ilvl w:val="0"/>
          <w:numId w:val="3"/>
        </w:numPr>
        <w:spacing w:line="360" w:lineRule="auto"/>
        <w:tabs>
          <w:tab w:val="left" w:pos="0" w:leader="none"/>
          <w:tab w:val="left" w:pos="255" w:leader="none"/>
        </w:tabs>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25" w:name="OLE_LINK114"/>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26" w:name="_Hlk151448601"/>
      <w:r>
        <w:rPr>
          <w:rFonts w:hint="eastAsia" w:ascii="宋体" w:hAnsi="宋体"/>
          <w:bCs/>
          <w:color w:val="000000"/>
          <w:sz w:val="24"/>
          <w:szCs w:val="24"/>
          <w:highlight w:val="none"/>
          <w:lang w:val="zh-CN"/>
        </w:rPr>
        <w:t xml:space="preserve">提供《关于资格的声明函》；</w:t>
      </w:r>
      <w:bookmarkEnd w:id="26"/>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被授权代表身份证明1</w:t>
      </w:r>
      <w:bookmarkStart w:id="27" w:name="_Hlk163378222"/>
      <w:r>
        <w:rPr>
          <w:rFonts w:hint="eastAsia" w:ascii="宋体" w:hAnsi="宋体"/>
          <w:b/>
          <w:bCs w:val="0"/>
          <w:color w:val="000000"/>
          <w:sz w:val="24"/>
          <w:szCs w:val="24"/>
          <w:highlight w:val="none"/>
          <w:lang w:val="zh-CN"/>
        </w:rPr>
        <w:t xml:space="preserve">（授权委托书）</w:t>
      </w:r>
      <w:bookmarkEnd w:id="27"/>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被授权代表身份证明2（社保）</w:t>
      </w:r>
      <w:r>
        <w:rPr>
          <w:rFonts w:hint="eastAsia" w:ascii="宋体" w:hAnsi="宋体"/>
          <w:bCs/>
          <w:color w:val="000000"/>
          <w:sz w:val="24"/>
          <w:szCs w:val="24"/>
          <w:highlight w:val="none"/>
          <w:lang w:val="zh-CN"/>
        </w:rPr>
        <w:t xml:space="preserve">：</w:t>
      </w:r>
      <w:bookmarkStart w:id="28" w:name="_Hlk155260749"/>
      <w:r>
        <w:rPr>
          <w:rFonts w:hint="eastAsia" w:ascii="宋体" w:hAnsi="宋体"/>
          <w:bCs/>
          <w:color w:val="auto"/>
          <w:sz w:val="24"/>
          <w:szCs w:val="24"/>
          <w:highlight w:val="none"/>
          <w:lang w:val="zh-CN"/>
        </w:rPr>
        <w:t xml:space="preserve">提供投标人为本项目被授权代表缴纳的近六个月内任意一个月份的社保证明</w:t>
      </w:r>
      <w:bookmarkEnd w:id="28"/>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29" w:name="_Hlk139976635"/>
      <w:r>
        <w:rPr>
          <w:rFonts w:hint="eastAsia" w:ascii="宋体" w:hAnsi="宋体"/>
          <w:bCs/>
          <w:color w:val="000000"/>
          <w:sz w:val="24"/>
          <w:szCs w:val="24"/>
          <w:highlight w:val="none"/>
          <w:lang w:val="zh-CN"/>
        </w:rPr>
        <w:t xml:space="preserve">人提供的资格声明函中作出的无不良信用记录承诺为准</w:t>
      </w:r>
      <w:bookmarkEnd w:id="29"/>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30" w:name="_Hlk151448642"/>
      <w:r>
        <w:rPr>
          <w:rFonts w:hint="eastAsia" w:ascii="宋体" w:hAnsi="宋体" w:eastAsia="宋体" w:cs="宋体"/>
          <w:bCs/>
          <w:color w:val="000000"/>
          <w:sz w:val="24"/>
          <w:szCs w:val="24"/>
          <w:highlight w:val="none"/>
          <w:lang w:val="zh-CN"/>
        </w:rPr>
        <w:t xml:space="preserve">⑨</w:t>
      </w:r>
      <w:r>
        <w:rPr>
          <w:rFonts w:hint="eastAsia" w:ascii="Cambria Math" w:hAnsi="Cambria Math" w:cs="Cambria Math"/>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⑩</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r>
        <w:rPr>
          <w:rFonts w:hint="eastAsia" w:ascii="宋体" w:hAnsi="宋体"/>
          <w:bCs/>
          <w:color w:val="000000"/>
          <w:sz w:val="24"/>
          <w:szCs w:val="24"/>
          <w:highlight w:val="none"/>
          <w:lang w:val="zh-CN"/>
        </w:rPr>
        <w:t xml:space="preserve">无。</w:t>
      </w:r>
      <w:bookmarkEnd w:id="30"/>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31"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31"/>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bookmarkStart w:id="32" w:name="_Hlk151555369"/>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3</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符合条件</w:t>
      </w:r>
      <w:bookmarkEnd w:id="32"/>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33"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投标函</w:t>
      </w:r>
      <w:bookmarkEnd w:id="33"/>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 xml:space="preserve">明细报价表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rPr>
        <w:t xml:space="preserve">项目技术要求偏离表</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4</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价格折扣文件</w:t>
      </w:r>
      <w:r/>
    </w:p>
    <w:p>
      <w:pPr>
        <w:numPr>
          <w:ilvl w:val="0"/>
          <w:numId w:val="0"/>
        </w:numPr>
        <w:ind w:left="420"/>
        <w:jc w:val="left"/>
        <w:spacing w:line="360" w:lineRule="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5</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其他相关材料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w:t>
      </w:r>
      <w:r>
        <w:rPr>
          <w:rFonts w:hint="eastAsia" w:ascii="宋体" w:hAnsi="宋体"/>
          <w:bCs/>
          <w:color w:val="000000"/>
          <w:sz w:val="24"/>
          <w:szCs w:val="24"/>
          <w:highlight w:val="none"/>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4"/>
      <w:r/>
      <w:bookmarkEnd w:id="25"/>
      <w:r/>
      <w:r/>
    </w:p>
    <w:p>
      <w:pPr>
        <w:ind w:firstLine="482"/>
        <w:spacing w:line="360" w:lineRule="auto"/>
        <w:rPr>
          <w:rFonts w:hint="eastAsia" w:ascii="宋体" w:hAnsi="宋体"/>
          <w:b/>
          <w:color w:val="000000"/>
          <w:sz w:val="24"/>
          <w:szCs w:val="24"/>
          <w:highlight w:val="none"/>
        </w:rPr>
      </w:pPr>
      <w:r/>
      <w:bookmarkStart w:id="34" w:name="OLE_LINK219"/>
      <w:r>
        <w:rPr>
          <w:rFonts w:hint="eastAsia" w:ascii="宋体" w:hAnsi="宋体"/>
          <w:b/>
          <w:color w:val="000000"/>
          <w:sz w:val="24"/>
          <w:szCs w:val="24"/>
          <w:highlight w:val="none"/>
        </w:rPr>
        <w:t xml:space="preserve">10、</w:t>
      </w:r>
      <w:bookmarkStart w:id="35" w:name="_Toc520356155"/>
      <w:r/>
      <w:bookmarkStart w:id="36" w:name="_Toc19624"/>
      <w:r/>
      <w:bookmarkStart w:id="37" w:name="_Toc2248"/>
      <w:r/>
      <w:bookmarkStart w:id="38" w:name="_Toc515647770"/>
      <w:r/>
      <w:bookmarkStart w:id="39" w:name="_Toc23231"/>
      <w:r>
        <w:rPr>
          <w:rFonts w:hint="eastAsia" w:ascii="宋体" w:hAnsi="宋体"/>
          <w:b/>
          <w:color w:val="000000"/>
          <w:sz w:val="24"/>
          <w:szCs w:val="24"/>
          <w:highlight w:val="none"/>
        </w:rPr>
        <w:t xml:space="preserve">投标报价</w:t>
      </w:r>
      <w:bookmarkEnd w:id="34"/>
      <w:r/>
      <w:bookmarkEnd w:id="35"/>
      <w:r/>
      <w:bookmarkEnd w:id="36"/>
      <w:r/>
      <w:bookmarkEnd w:id="37"/>
      <w:r/>
      <w:bookmarkEnd w:id="38"/>
      <w:r/>
      <w:bookmarkEnd w:id="3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40" w:name="OLE_LINK204"/>
      <w:r>
        <w:rPr>
          <w:rFonts w:hint="eastAsia" w:ascii="宋体" w:hAnsi="宋体"/>
          <w:bCs/>
          <w:color w:val="000000"/>
          <w:sz w:val="24"/>
          <w:szCs w:val="24"/>
          <w:highlight w:val="none"/>
          <w:lang w:val="zh-CN"/>
        </w:rPr>
        <w:t xml:space="preserve">。</w:t>
      </w:r>
      <w:bookmarkEnd w:id="40"/>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bookmarkStart w:id="41" w:name="OLE_LINK262"/>
      <w:r>
        <w:rPr>
          <w:rFonts w:hint="eastAsia" w:ascii="宋体" w:hAnsi="宋体"/>
          <w:bCs/>
          <w:color w:val="000000"/>
          <w:sz w:val="24"/>
          <w:szCs w:val="24"/>
          <w:highlight w:val="none"/>
          <w:lang w:val="zh-CN"/>
        </w:rPr>
        <w:t xml:space="preserve">投标报价应包含</w:t>
      </w:r>
      <w:bookmarkStart w:id="42" w:name="OLE_LINK250"/>
      <w:r>
        <w:rPr>
          <w:rFonts w:hint="eastAsia" w:ascii="宋体" w:hAnsi="宋体"/>
          <w:bCs/>
          <w:color w:val="000000"/>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 xml:space="preserve">，以及投标人认为需要的其他费用等</w:t>
      </w:r>
      <w:bookmarkEnd w:id="41"/>
      <w:r/>
      <w:bookmarkEnd w:id="42"/>
      <w:r>
        <w:rPr>
          <w:rFonts w:hint="eastAsia" w:ascii="宋体" w:hAnsi="宋体"/>
          <w:bCs/>
          <w:color w:val="000000"/>
          <w:sz w:val="24"/>
          <w:szCs w:val="24"/>
          <w:highlight w:val="none"/>
          <w:lang w:val="zh-CN"/>
        </w:rPr>
        <w:t xml:space="preserve">。</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43"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44"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45"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44"/>
      <w:r/>
      <w:bookmarkEnd w:id="45"/>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bookmarkStart w:id="46" w:name="_Hlk131926146"/>
      <w:r>
        <w:rPr>
          <w:rFonts w:ascii="宋体" w:hAnsi="宋体"/>
          <w:b/>
          <w:color w:val="000000"/>
          <w:sz w:val="24"/>
          <w:szCs w:val="24"/>
          <w:highlight w:val="none"/>
        </w:rPr>
        <w:t xml:space="preserve">电子投标文件</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w:t>
      </w:r>
      <w:bookmarkStart w:id="47" w:name="_Hlk131934421"/>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47"/>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截止时间以后传输的投标文件，“苏采云”平台将拒绝接收。供应商应充分考虑网络环境、网络带宽等风险因素。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highlight w:val="none"/>
        </w:rPr>
        <w:t xml:space="preserve">（友情提示：若投标人已领取副锁（含多把副锁）请注意正副锁的使用差别）</w:t>
      </w:r>
      <w:r>
        <w:rPr>
          <w:rFonts w:ascii="宋体" w:hAnsi="宋体"/>
          <w:bCs/>
          <w:color w:val="000000"/>
          <w:sz w:val="24"/>
          <w:szCs w:val="24"/>
          <w:highlight w:val="none"/>
        </w:rPr>
        <w:t xml:space="preserve">。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因不可抗力事件造成的响应文件的损坏、丢失的，</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ascii="宋体" w:hAnsi="宋体"/>
          <w:bCs/>
          <w:color w:val="000000"/>
          <w:sz w:val="24"/>
          <w:szCs w:val="24"/>
          <w:highlight w:val="none"/>
        </w:rPr>
        <w:t xml:space="preserve">不承担责任。 </w:t>
      </w:r>
      <w:r/>
    </w:p>
    <w:p>
      <w:pPr>
        <w:ind w:firstLine="482"/>
        <w:spacing w:line="360" w:lineRule="auto"/>
        <w:rPr>
          <w:rFonts w:ascii="宋体" w:hAnsi="宋体"/>
          <w:b/>
          <w:color w:val="000000"/>
          <w:sz w:val="24"/>
          <w:szCs w:val="24"/>
          <w:highlight w:val="none"/>
        </w:rPr>
      </w:pPr>
      <w:r/>
      <w:bookmarkStart w:id="48"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、投标文件的拒收：</w:t>
      </w:r>
      <w:r>
        <w:rPr>
          <w:rFonts w:hint="eastAsia" w:ascii="宋体" w:hAnsi="宋体"/>
          <w:b/>
          <w:bCs w:val="0"/>
          <w:color w:val="000000"/>
          <w:sz w:val="24"/>
          <w:szCs w:val="24"/>
          <w:highlight w:val="none"/>
        </w:rPr>
        <w:t xml:space="preserve">在招标文件要求的投标截止时间之后提交的投标文件将被拒收</w:t>
      </w:r>
      <w:bookmarkEnd w:id="46"/>
      <w:r>
        <w:rPr>
          <w:rFonts w:hint="eastAsia" w:ascii="宋体" w:hAnsi="宋体"/>
          <w:bCs/>
          <w:color w:val="000000"/>
          <w:sz w:val="24"/>
          <w:szCs w:val="24"/>
          <w:highlight w:val="none"/>
        </w:rPr>
        <w:t xml:space="preserve">。</w:t>
      </w:r>
      <w:bookmarkEnd w:id="43"/>
      <w:r/>
      <w:bookmarkEnd w:id="48"/>
      <w:r/>
      <w:r/>
    </w:p>
    <w:p>
      <w:pPr>
        <w:ind w:firstLine="482"/>
        <w:spacing w:line="360" w:lineRule="auto"/>
        <w:rPr>
          <w:rFonts w:hint="eastAsia" w:ascii="宋体" w:hAnsi="宋体"/>
          <w:b/>
          <w:color w:val="000000"/>
          <w:sz w:val="24"/>
          <w:szCs w:val="24"/>
          <w:highlight w:val="none"/>
        </w:rPr>
      </w:pPr>
      <w:r/>
      <w:bookmarkStart w:id="49"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、投标文件的真实性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投标人（含中标供应商）应对其投标文件中提供的所有材料的真实性负责。</w:t>
      </w:r>
      <w:r/>
    </w:p>
    <w:p>
      <w:pPr>
        <w:ind w:firstLine="480"/>
        <w:spacing w:line="360" w:lineRule="auto"/>
        <w:rPr>
          <w:rFonts w:hint="eastAsia"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50" w:name="OLE_LINK227"/>
      <w:r>
        <w:rPr>
          <w:rFonts w:hint="eastAsia" w:ascii="宋体" w:hAnsi="宋体"/>
          <w:color w:val="000000"/>
          <w:sz w:val="24"/>
          <w:szCs w:val="28"/>
          <w:highlight w:val="none"/>
        </w:rPr>
        <w:t xml:space="preserve">如</w:t>
      </w:r>
      <w:bookmarkStart w:id="51" w:name="OLE_LINK45"/>
      <w:r>
        <w:rPr>
          <w:rFonts w:hint="eastAsia" w:ascii="宋体" w:hAnsi="宋体"/>
          <w:color w:val="000000"/>
          <w:sz w:val="24"/>
          <w:szCs w:val="28"/>
          <w:highlight w:val="none"/>
        </w:rPr>
        <w:t xml:space="preserve">采购人、</w:t>
      </w:r>
      <w:bookmarkEnd w:id="51"/>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9"/>
      <w:r/>
      <w:bookmarkEnd w:id="50"/>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15、投标文件的有效期</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投标文件的有效期为投标截止之日起的60天（含提交当日）。在特殊情况下，采购人、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机构可与投标人协商延长投标文件的有效期。</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16、投标文件的退还</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机构对所有投标人的投标文件一律不予退还。</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17、投标文件的</w:t>
      </w:r>
      <w:bookmarkStart w:id="52" w:name="OLE_LINK260"/>
      <w:r>
        <w:rPr>
          <w:rFonts w:hint="eastAsia" w:ascii="宋体" w:hAnsi="宋体"/>
          <w:b/>
          <w:color w:val="000000"/>
          <w:sz w:val="24"/>
          <w:szCs w:val="24"/>
          <w:highlight w:val="none"/>
        </w:rPr>
        <w:t xml:space="preserve">补充、修改或者撤回</w:t>
      </w:r>
      <w:bookmarkEnd w:id="52"/>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53" w:name="OLE_LINK228"/>
      <w:r>
        <w:rPr>
          <w:rFonts w:hint="eastAsia" w:ascii="宋体" w:hAnsi="宋体"/>
          <w:bCs/>
          <w:color w:val="000000"/>
          <w:sz w:val="24"/>
          <w:szCs w:val="24"/>
          <w:highlight w:val="none"/>
        </w:rPr>
        <w:t xml:space="preserve">在投标截止时间之后，</w:t>
      </w:r>
      <w:bookmarkStart w:id="54" w:name="_Hlk128404679"/>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机构、评标委员会不接受</w:t>
      </w:r>
      <w:bookmarkEnd w:id="54"/>
      <w:r>
        <w:rPr>
          <w:rFonts w:hint="eastAsia" w:ascii="宋体" w:hAnsi="宋体"/>
          <w:bCs/>
          <w:color w:val="000000"/>
          <w:sz w:val="24"/>
          <w:szCs w:val="24"/>
          <w:highlight w:val="none"/>
        </w:rPr>
        <w:t xml:space="preserve">投标人主动对其投标文件做任何</w:t>
      </w:r>
      <w:bookmarkStart w:id="55" w:name="OLE_LINK54"/>
      <w:r>
        <w:rPr>
          <w:rFonts w:hint="eastAsia" w:ascii="宋体" w:hAnsi="宋体"/>
          <w:bCs/>
          <w:color w:val="000000"/>
          <w:sz w:val="24"/>
          <w:szCs w:val="24"/>
          <w:highlight w:val="none"/>
        </w:rPr>
        <w:t xml:space="preserve">补充、</w:t>
      </w:r>
      <w:bookmarkEnd w:id="55"/>
      <w:r>
        <w:rPr>
          <w:rFonts w:hint="eastAsia" w:ascii="宋体" w:hAnsi="宋体"/>
          <w:bCs/>
          <w:color w:val="000000"/>
          <w:sz w:val="24"/>
          <w:szCs w:val="24"/>
          <w:highlight w:val="none"/>
        </w:rPr>
        <w:t xml:space="preserve">修改</w:t>
      </w:r>
      <w:bookmarkEnd w:id="53"/>
      <w:r>
        <w:rPr>
          <w:rFonts w:hint="eastAsia" w:ascii="宋体" w:hAnsi="宋体"/>
          <w:bCs/>
          <w:color w:val="000000"/>
          <w:sz w:val="24"/>
          <w:szCs w:val="24"/>
          <w:highlight w:val="none"/>
        </w:rPr>
        <w:t xml:space="preserve">。</w:t>
      </w:r>
      <w:r/>
    </w:p>
    <w:p>
      <w:pPr>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    18、</w:t>
      </w:r>
      <w:r>
        <w:rPr>
          <w:rFonts w:hint="eastAsia" w:ascii="宋体" w:hAnsi="宋体"/>
          <w:b/>
          <w:color w:val="000000"/>
          <w:sz w:val="24"/>
          <w:szCs w:val="24"/>
          <w:highlight w:val="none"/>
          <w:lang w:val="zh-CN"/>
        </w:rPr>
        <w:t xml:space="preserve">无效投标的确认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投标文件未按招标文件</w:t>
      </w:r>
      <w:r>
        <w:rPr>
          <w:rFonts w:hint="eastAsia" w:ascii="宋体" w:hAnsi="宋体"/>
          <w:bCs/>
          <w:color w:val="000000"/>
          <w:sz w:val="24"/>
          <w:szCs w:val="24"/>
          <w:highlight w:val="none"/>
        </w:rPr>
        <w:t xml:space="preserve">给定格式如实填写（编写）的或未按</w:t>
      </w:r>
      <w:r>
        <w:rPr>
          <w:rFonts w:hint="eastAsia" w:ascii="宋体" w:hAnsi="宋体" w:cs="宋体"/>
          <w:color w:val="000000"/>
          <w:sz w:val="24"/>
          <w:szCs w:val="24"/>
          <w:highlight w:val="none"/>
        </w:rPr>
        <w:t xml:space="preserve">要求签署、盖章的；</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不具备招标文件投标邀请函中“投标人参加本次政府采购活动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投标文件含有采购人不能接受的附加条件的；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cs="宋体"/>
          <w:color w:val="000000"/>
          <w:sz w:val="24"/>
          <w:szCs w:val="24"/>
          <w:highlight w:val="none"/>
          <w:lang w:val="zh-CN"/>
        </w:rPr>
        <w:t xml:space="preserve">；</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属于投标邀请函“拒绝参加本次采购活动供应商”的；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与其他投标人串通投标的，包括但不限于以下几种情况：</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①　</w:t>
      </w: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②　</w:t>
      </w:r>
      <w:r>
        <w:rPr>
          <w:rFonts w:hint="eastAsia" w:ascii="宋体" w:hAnsi="宋体" w:cs="宋体"/>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③　</w:t>
      </w: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④　</w:t>
      </w:r>
      <w:r>
        <w:rPr>
          <w:rFonts w:hint="eastAsia" w:ascii="宋体" w:hAnsi="宋体" w:cs="宋体"/>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0"/>
        </w:numPr>
        <w:ind w:left="0"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⑤　</w:t>
      </w:r>
      <w:r>
        <w:rPr>
          <w:rFonts w:hint="eastAsia" w:ascii="宋体" w:hAnsi="宋体" w:cs="宋体"/>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56" w:name="OLE_LINK137"/>
      <w:r>
        <w:rPr>
          <w:rFonts w:hint="eastAsia" w:ascii="宋体" w:hAnsi="宋体" w:cs="宋体"/>
          <w:color w:val="000000"/>
          <w:sz w:val="24"/>
          <w:szCs w:val="24"/>
          <w:highlight w:val="none"/>
          <w:lang w:val="zh-CN"/>
        </w:rPr>
        <w:t xml:space="preserve">（含虚假承诺）</w:t>
      </w:r>
      <w:bookmarkEnd w:id="56"/>
      <w:r>
        <w:rPr>
          <w:rFonts w:hint="eastAsia" w:ascii="宋体" w:hAnsi="宋体" w:cs="宋体"/>
          <w:color w:val="000000"/>
          <w:sz w:val="24"/>
          <w:szCs w:val="24"/>
          <w:highlight w:val="none"/>
          <w:lang w:val="zh-CN"/>
        </w:rPr>
        <w:t xml:space="preserve">的；</w:t>
      </w:r>
      <w:r/>
    </w:p>
    <w:p>
      <w:pPr>
        <w:numPr>
          <w:ilvl w:val="0"/>
          <w:numId w:val="4"/>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投标文件内容不全、自相矛盾或不符合法律法规和招标文件中规定的其它实质性要求的；</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40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评标委员会启动异常低价投标（响应）审查的情形和具体要求，包括：</w:t>
      </w:r>
      <w:r/>
    </w:p>
    <w:p>
      <w:pPr>
        <w:numPr>
          <w:ilvl w:val="0"/>
          <w:numId w:val="0"/>
        </w:numPr>
        <w:ind w:left="40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1、评审过程中出现下列情形之一的，评标委员会应当启动异常低价投标（响应）审查程序：</w:t>
      </w:r>
      <w:r/>
    </w:p>
    <w:p>
      <w:pPr>
        <w:numPr>
          <w:ilvl w:val="0"/>
          <w:numId w:val="0"/>
        </w:numPr>
        <w:ind w:left="40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①投标（响应）报价低于采购项目预算50%的，即投标（响应）报价＜采购项目预算×50%；</w:t>
      </w:r>
      <w:r/>
    </w:p>
    <w:p>
      <w:pPr>
        <w:numPr>
          <w:ilvl w:val="0"/>
          <w:numId w:val="0"/>
        </w:numPr>
        <w:ind w:left="40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②投标（响应）报价低于采购项目最高限价45%的，即投标（响应）报价＜采购项目最高限价×45%；</w:t>
      </w:r>
      <w:r/>
    </w:p>
    <w:p>
      <w:pPr>
        <w:numPr>
          <w:ilvl w:val="0"/>
          <w:numId w:val="0"/>
        </w:numPr>
        <w:ind w:left="40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③评标委员会认定的供应商报价过低、有可能影响产品质量或者不能诚信履约的其他情形。</w:t>
      </w:r>
      <w:r/>
    </w:p>
    <w:p>
      <w:pPr>
        <w:numPr>
          <w:ilvl w:val="0"/>
          <w:numId w:val="0"/>
        </w:numPr>
        <w:ind w:left="400" w:firstLine="480"/>
        <w:spacing w:line="360" w:lineRule="auto"/>
        <w:tabs>
          <w:tab w:val="left" w:pos="0" w:leader="none"/>
          <w:tab w:val="left" w:pos="42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4"/>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法律、法规和招标文件规定的其他无效情形。</w:t>
      </w:r>
      <w:r/>
    </w:p>
    <w:p>
      <w:pPr>
        <w:numPr>
          <w:ilvl w:val="0"/>
          <w:numId w:val="5"/>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联合体投标、</w:t>
      </w:r>
      <w:r>
        <w:rPr>
          <w:rFonts w:hint="eastAsia" w:ascii="宋体" w:hAnsi="宋体" w:cs="宋体"/>
          <w:b/>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57" w:name="_Hlk151449361"/>
      <w:r/>
      <w:bookmarkStart w:id="58" w:name="OLE_LINK96"/>
      <w:r>
        <w:rPr>
          <w:rFonts w:hint="eastAsia" w:ascii="宋体" w:hAnsi="宋体"/>
          <w:bCs/>
          <w:color w:val="000000"/>
          <w:sz w:val="24"/>
          <w:szCs w:val="24"/>
          <w:highlight w:val="none"/>
        </w:rPr>
        <w:t xml:space="preserve">19、</w:t>
      </w:r>
      <w:bookmarkStart w:id="59" w:name="_Hlk151562826"/>
      <w:r>
        <w:rPr>
          <w:rFonts w:hint="eastAsia" w:ascii="宋体" w:hAnsi="宋体"/>
          <w:bCs/>
          <w:color w:val="000000"/>
          <w:sz w:val="24"/>
          <w:szCs w:val="24"/>
          <w:highlight w:val="none"/>
        </w:rPr>
        <w:t xml:space="preserve">联合体、中标后分包（如有）</w:t>
      </w:r>
      <w:bookmarkEnd w:id="57"/>
      <w:r/>
      <w:bookmarkEnd w:id="5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58"/>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60"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61" w:name="OLE_LINK199"/>
      <w:r>
        <w:rPr>
          <w:rFonts w:hint="eastAsia" w:ascii="宋体" w:hAnsi="宋体"/>
          <w:bCs/>
          <w:color w:val="000000"/>
          <w:sz w:val="24"/>
          <w:szCs w:val="24"/>
          <w:highlight w:val="none"/>
          <w:lang w:val="zh-CN"/>
        </w:rPr>
        <w:t xml:space="preserve">订联合体协议书</w:t>
      </w:r>
      <w:bookmarkEnd w:id="61"/>
      <w:r>
        <w:rPr>
          <w:rFonts w:hint="eastAsia" w:ascii="宋体" w:hAnsi="宋体"/>
          <w:bCs/>
          <w:color w:val="000000"/>
          <w:sz w:val="24"/>
          <w:szCs w:val="24"/>
          <w:highlight w:val="none"/>
          <w:lang w:val="zh-CN"/>
        </w:rPr>
        <w:t xml:space="preserve">，明确联合体主体单位（即牵头人）和各方的权利义务</w:t>
      </w:r>
      <w:bookmarkEnd w:id="60"/>
      <w:r/>
      <w:bookmarkStart w:id="62" w:name="OLE_LINK127"/>
      <w:r/>
      <w:bookmarkStart w:id="63" w:name="OLE_LINK63"/>
      <w:r/>
      <w:bookmarkStart w:id="64"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6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63"/>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65" w:name="OLE_LINK128"/>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 xml:space="preserve">联合体成员存在不良信用记录的，视同联合体存在不良信用记录。</w:t>
      </w:r>
      <w:bookmarkEnd w:id="64"/>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p>
    <w:p>
      <w:pPr>
        <w:ind w:firstLine="480"/>
        <w:spacing w:line="360" w:lineRule="auto"/>
        <w:rPr>
          <w:rFonts w:hint="eastAsia" w:ascii="宋体" w:hAnsi="宋体"/>
          <w:bCs/>
          <w:color w:val="000000"/>
          <w:sz w:val="24"/>
          <w:szCs w:val="24"/>
          <w:highlight w:val="none"/>
          <w:lang w:val="zh-CN"/>
        </w:rPr>
      </w:pPr>
      <w:r/>
      <w:bookmarkStart w:id="66"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67"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6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w:t>
      </w:r>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解密成功，即视为网上平台运行无故障。</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开标</w:t>
      </w:r>
      <w:bookmarkStart w:id="68" w:name="OLE_LINK130"/>
      <w:r>
        <w:rPr>
          <w:rFonts w:hint="eastAsia" w:ascii="宋体" w:hAnsi="宋体"/>
          <w:bCs/>
          <w:color w:val="000000"/>
          <w:sz w:val="24"/>
          <w:szCs w:val="24"/>
          <w:highlight w:val="none"/>
          <w:lang w:val="zh-CN"/>
        </w:rPr>
        <w:t xml:space="preserve">过程由采购人或者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szCs w:val="24"/>
          <w:highlight w:val="none"/>
          <w:lang w:val="zh-CN"/>
        </w:rPr>
        <w:t xml:space="preserve">负责记录，并由相关工作人员签字确认后随采购文件一并存档。</w:t>
      </w:r>
      <w:bookmarkEnd w:id="68"/>
      <w:r>
        <w:rPr>
          <w:rFonts w:hint="eastAsia" w:ascii="宋体" w:hAnsi="宋体"/>
          <w:bCs/>
          <w:color w:val="000000"/>
          <w:sz w:val="24"/>
          <w:szCs w:val="24"/>
          <w:highlight w:val="none"/>
          <w:lang w:val="zh-CN"/>
        </w:rPr>
        <w:t xml:space="preserve">投标人未参加开标的，视同认可开标结果。</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69" w:name="OLE_LINK131"/>
      <w:r/>
      <w:bookmarkStart w:id="70" w:name="OLE_LINK179"/>
      <w:r>
        <w:rPr>
          <w:rFonts w:hint="eastAsia" w:ascii="宋体" w:hAnsi="宋体"/>
          <w:bCs/>
          <w:color w:val="000000"/>
          <w:sz w:val="24"/>
          <w:szCs w:val="24"/>
          <w:highlight w:val="none"/>
        </w:rPr>
        <w:t xml:space="preserve">投标人对开标过程和开标记录有疑义，以及认为采购人、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机构相关工作人员有需要回避的情形的，应当场提出询问或者回避申请。</w:t>
      </w:r>
      <w:bookmarkEnd w:id="69"/>
      <w:r/>
      <w:bookmarkStart w:id="71"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70"/>
      <w:r/>
      <w:bookmarkEnd w:id="71"/>
      <w:r>
        <w:rPr>
          <w:rFonts w:hint="eastAsia" w:ascii="宋体" w:hAnsi="宋体"/>
          <w:bCs/>
          <w:color w:val="000000"/>
          <w:sz w:val="24"/>
          <w:szCs w:val="24"/>
          <w:highlight w:val="none"/>
          <w:lang w:val="zh-CN"/>
        </w:rPr>
        <w:t xml:space="preserve">。</w:t>
      </w:r>
      <w:bookmarkEnd w:id="66"/>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21、资格审查</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p>
    <w:p>
      <w:pPr>
        <w:ind w:firstLine="480"/>
        <w:spacing w:line="360" w:lineRule="auto"/>
        <w:rPr>
          <w:rFonts w:hint="eastAsia" w:ascii="宋体" w:hAnsi="宋体" w:cs="宋体"/>
          <w:color w:val="000000"/>
          <w:sz w:val="24"/>
          <w:szCs w:val="24"/>
          <w:highlight w:val="none"/>
        </w:rPr>
      </w:pPr>
      <w:r/>
      <w:bookmarkStart w:id="72" w:name="OLE_LINK257"/>
      <w:r/>
      <w:bookmarkStart w:id="73" w:name="OLE_LINK261"/>
      <w:r>
        <w:rPr>
          <w:rFonts w:hint="eastAsia" w:ascii="宋体" w:hAnsi="宋体" w:cs="宋体"/>
          <w:color w:val="000000"/>
          <w:sz w:val="24"/>
          <w:szCs w:val="24"/>
          <w:highlight w:val="none"/>
        </w:rPr>
        <w:t xml:space="preserve">21.2.1 </w:t>
      </w:r>
      <w:bookmarkEnd w:id="72"/>
      <w:r>
        <w:rPr>
          <w:rFonts w:hint="eastAsia" w:ascii="宋体" w:hAnsi="宋体" w:cs="宋体"/>
          <w:color w:val="000000"/>
          <w:sz w:val="24"/>
          <w:szCs w:val="24"/>
          <w:highlight w:val="none"/>
        </w:rPr>
        <w:t xml:space="preserve">按照本须知“9、投标文件的组成”中“资格</w:t>
      </w:r>
      <w:r>
        <w:rPr>
          <w:rFonts w:hint="eastAsia" w:ascii="宋体" w:hAnsi="宋体" w:cs="宋体"/>
          <w:color w:val="000000"/>
          <w:sz w:val="24"/>
          <w:szCs w:val="24"/>
          <w:highlight w:val="none"/>
          <w:lang w:val="en-US" w:eastAsia="zh-CN"/>
        </w:rPr>
        <w:t xml:space="preserve">条件</w:t>
      </w:r>
      <w:r>
        <w:rPr>
          <w:rFonts w:hint="eastAsia" w:ascii="宋体" w:hAnsi="宋体" w:cs="宋体"/>
          <w:color w:val="000000"/>
          <w:sz w:val="24"/>
          <w:szCs w:val="24"/>
          <w:highlight w:val="none"/>
        </w:rPr>
        <w:t xml:space="preserve">”的要求依法对投标人的资格进行审查。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被列入失信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查询及记录方式：采购人将</w:t>
      </w:r>
      <w:r>
        <w:rPr>
          <w:rFonts w:hint="eastAsia" w:ascii="宋体" w:hAnsi="宋体" w:cs="宋体"/>
          <w:bCs/>
          <w:color w:val="auto"/>
          <w:sz w:val="24"/>
          <w:szCs w:val="24"/>
          <w:highlight w:val="none"/>
        </w:rPr>
        <w:t xml:space="preserve">在以上网站</w:t>
      </w:r>
      <w:r>
        <w:rPr>
          <w:rFonts w:hint="eastAsia" w:ascii="宋体" w:hAnsi="宋体" w:cs="宋体"/>
          <w:color w:val="000000"/>
          <w:sz w:val="24"/>
          <w:szCs w:val="24"/>
          <w:highlight w:val="none"/>
        </w:rPr>
        <w:t xml:space="preserve">查询网页</w:t>
      </w:r>
      <w:r>
        <w:rPr>
          <w:rFonts w:hint="eastAsia" w:ascii="宋体" w:hAnsi="宋体" w:cs="宋体"/>
          <w:color w:val="000000"/>
          <w:sz w:val="24"/>
          <w:szCs w:val="24"/>
          <w:highlight w:val="none"/>
          <w:lang w:val="en-US" w:eastAsia="zh-CN"/>
        </w:rPr>
        <w:t xml:space="preserve">并</w:t>
      </w:r>
      <w:r>
        <w:rPr>
          <w:rFonts w:hint="eastAsia" w:ascii="宋体" w:hAnsi="宋体" w:cs="宋体"/>
          <w:color w:val="000000"/>
          <w:sz w:val="24"/>
          <w:szCs w:val="24"/>
          <w:highlight w:val="none"/>
        </w:rPr>
        <w:t xml:space="preserve">打印</w:t>
      </w:r>
      <w:r>
        <w:rPr>
          <w:rFonts w:hint="eastAsia" w:ascii="宋体" w:hAnsi="宋体" w:cs="宋体"/>
          <w:bCs/>
          <w:color w:val="auto"/>
          <w:sz w:val="24"/>
          <w:szCs w:val="24"/>
          <w:highlight w:val="none"/>
        </w:rPr>
        <w:t xml:space="preserve">查询结果、</w:t>
      </w:r>
      <w:r>
        <w:rPr>
          <w:rFonts w:hint="eastAsia" w:ascii="宋体" w:hAnsi="宋体" w:cs="宋体"/>
          <w:color w:val="000000"/>
          <w:sz w:val="24"/>
          <w:szCs w:val="24"/>
          <w:highlight w:val="none"/>
        </w:rPr>
        <w:t xml:space="preserve">签字并存档备查。</w:t>
      </w:r>
      <w:bookmarkEnd w:id="73"/>
      <w:r>
        <w:rPr>
          <w:rFonts w:hint="eastAsia" w:ascii="宋体" w:hAnsi="宋体" w:cs="宋体"/>
          <w:color w:val="000000"/>
          <w:sz w:val="24"/>
          <w:szCs w:val="24"/>
          <w:highlight w:val="none"/>
        </w:rPr>
        <w:t xml:space="preserve">投标人不良信用记录以</w:t>
      </w:r>
      <w:r>
        <w:rPr>
          <w:rFonts w:hint="eastAsia" w:ascii="宋体" w:hAnsi="宋体"/>
          <w:bCs/>
          <w:color w:val="000000"/>
          <w:sz w:val="24"/>
          <w:szCs w:val="24"/>
          <w:highlight w:val="none"/>
        </w:rPr>
        <w:t xml:space="preserve">采购人</w:t>
      </w:r>
      <w:r>
        <w:rPr>
          <w:rFonts w:hint="eastAsia" w:ascii="宋体" w:hAnsi="宋体"/>
          <w:bCs/>
          <w:color w:val="auto"/>
          <w:sz w:val="24"/>
          <w:szCs w:val="24"/>
          <w:highlight w:val="none"/>
        </w:rPr>
        <w:t xml:space="preserve">代表在评审</w:t>
      </w:r>
      <w:r>
        <w:rPr>
          <w:rFonts w:hint="eastAsia" w:ascii="宋体" w:hAnsi="宋体" w:cs="宋体"/>
          <w:bCs/>
          <w:color w:val="auto"/>
          <w:sz w:val="24"/>
          <w:szCs w:val="24"/>
          <w:highlight w:val="none"/>
        </w:rPr>
        <w:t xml:space="preserve">现场实时查询结果为准</w:t>
      </w:r>
      <w:r>
        <w:rPr>
          <w:rFonts w:hint="eastAsia" w:ascii="宋体" w:hAnsi="宋体" w:cs="宋体"/>
          <w:color w:val="000000"/>
          <w:sz w:val="24"/>
          <w:szCs w:val="24"/>
          <w:highlight w:val="none"/>
        </w:rPr>
        <w:t xml:space="preserve">，投标人自行提供的与网站信息不一致的其他证明材料不作为资格审查依据；若在以上两个网站查询不到投标人企业信息的，以投标人提供的</w:t>
      </w:r>
      <w:r>
        <w:rPr>
          <w:rFonts w:hint="eastAsia" w:ascii="宋体" w:hAnsi="宋体" w:cs="宋体"/>
          <w:bCs/>
          <w:color w:val="auto"/>
          <w:sz w:val="24"/>
          <w:szCs w:val="24"/>
          <w:highlight w:val="none"/>
        </w:rPr>
        <w:t xml:space="preserve">资格</w:t>
      </w:r>
      <w:r>
        <w:rPr>
          <w:rFonts w:hint="eastAsia" w:ascii="宋体" w:hAnsi="宋体" w:cs="宋体"/>
          <w:color w:val="000000"/>
          <w:sz w:val="24"/>
          <w:szCs w:val="24"/>
          <w:highlight w:val="none"/>
        </w:rPr>
        <w:t xml:space="preserve">声明函为准。</w:t>
      </w:r>
      <w:r/>
    </w:p>
    <w:p>
      <w:pPr>
        <w:ind w:firstLine="482"/>
        <w:spacing w:line="360" w:lineRule="auto"/>
        <w:rPr>
          <w:rFonts w:hint="eastAsia" w:ascii="宋体" w:hAnsi="宋体"/>
          <w:b/>
          <w:color w:val="000000"/>
          <w:sz w:val="24"/>
          <w:szCs w:val="24"/>
          <w:highlight w:val="none"/>
        </w:rPr>
      </w:pPr>
      <w:r/>
      <w:bookmarkStart w:id="74" w:name="OLE_LINK18"/>
      <w:r>
        <w:rPr>
          <w:rFonts w:hint="eastAsia" w:ascii="宋体" w:hAnsi="宋体"/>
          <w:b/>
          <w:color w:val="000000"/>
          <w:sz w:val="24"/>
          <w:szCs w:val="24"/>
          <w:highlight w:val="none"/>
        </w:rPr>
        <w:t xml:space="preserve">22、评标</w:t>
      </w:r>
      <w:bookmarkEnd w:id="74"/>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p>
    <w:p>
      <w:pPr>
        <w:ind w:firstLine="480"/>
        <w:spacing w:line="360" w:lineRule="auto"/>
        <w:rPr>
          <w:rFonts w:hint="eastAsia" w:ascii="宋体" w:hAnsi="宋体"/>
          <w:b/>
          <w:color w:val="000000"/>
          <w:sz w:val="24"/>
          <w:szCs w:val="24"/>
          <w:highlight w:val="none"/>
          <w:lang w:val="zh-CN"/>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项目技术要求和有关说明”部分及其他“须（必须）”或“应（应当）”等文字说明的相关要求。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22.3</w:t>
      </w:r>
      <w:r>
        <w:rPr>
          <w:rFonts w:hint="eastAsia" w:ascii="宋体" w:hAnsi="宋体"/>
          <w:b/>
          <w:color w:val="000000"/>
          <w:sz w:val="24"/>
          <w:szCs w:val="24"/>
          <w:highlight w:val="none"/>
        </w:rPr>
        <w:t xml:space="preserve"> 澄清有关问题。</w:t>
      </w:r>
      <w:bookmarkStart w:id="75" w:name="_Hlk131934774"/>
      <w:r/>
      <w:bookmarkStart w:id="76" w:name="OLE_LINK129"/>
      <w:r>
        <w:rPr>
          <w:rFonts w:hint="eastAsia" w:ascii="宋体" w:hAnsi="宋体"/>
          <w:bCs/>
          <w:color w:val="000000"/>
          <w:sz w:val="24"/>
          <w:highlight w:val="none"/>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75"/>
      <w:r/>
      <w:bookmarkEnd w:id="76"/>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22.4 </w:t>
      </w:r>
      <w:r>
        <w:rPr>
          <w:rFonts w:hint="eastAsia" w:ascii="宋体" w:hAnsi="宋体"/>
          <w:b/>
          <w:color w:val="000000"/>
          <w:sz w:val="24"/>
          <w:szCs w:val="24"/>
          <w:highlight w:val="none"/>
        </w:rPr>
        <w:t xml:space="preserve">比</w:t>
      </w:r>
      <w:r>
        <w:rPr>
          <w:rFonts w:hint="eastAsia" w:ascii="宋体" w:hAnsi="宋体"/>
          <w:b/>
          <w:color w:val="000000"/>
          <w:sz w:val="24"/>
          <w:highlight w:val="none"/>
        </w:rPr>
        <w:t xml:space="preserve">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bCs/>
          <w:color w:val="000000"/>
          <w:sz w:val="24"/>
          <w:highlight w:val="none"/>
        </w:rPr>
      </w:pPr>
      <w:r/>
      <w:bookmarkStart w:id="77"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77"/>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bookmarkStart w:id="78" w:name="_Hlk139978336"/>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79"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79"/>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80" w:name="_Hlk128408333"/>
      <w:r>
        <w:rPr>
          <w:rFonts w:hint="eastAsia" w:ascii="宋体" w:hAnsi="宋体"/>
          <w:bCs/>
          <w:color w:val="000000"/>
          <w:sz w:val="24"/>
          <w:szCs w:val="24"/>
          <w:highlight w:val="none"/>
          <w:lang w:val="zh-CN"/>
        </w:rPr>
        <w:t xml:space="preserve">并作为中标候选人排序，</w:t>
      </w:r>
      <w:r>
        <w:rPr>
          <w:rFonts w:hint="eastAsia" w:ascii="宋体" w:hAnsi="宋体"/>
          <w:bCs/>
          <w:color w:val="auto"/>
          <w:sz w:val="24"/>
          <w:szCs w:val="24"/>
          <w:highlight w:val="none"/>
          <w:lang w:val="zh-CN"/>
        </w:rPr>
        <w:t xml:space="preserve">推荐三名中标候选人，</w:t>
      </w:r>
      <w:r>
        <w:rPr>
          <w:rFonts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80"/>
      <w:r>
        <w:rPr>
          <w:rFonts w:hint="eastAsia" w:ascii="宋体" w:hAnsi="宋体"/>
          <w:bCs/>
          <w:color w:val="000000"/>
          <w:sz w:val="24"/>
          <w:highlight w:val="none"/>
        </w:rPr>
        <w:t xml:space="preserve">由采购人代表抽签确定排序。</w:t>
      </w:r>
      <w:bookmarkEnd w:id="78"/>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注：除了算术修正</w:t>
      </w:r>
      <w:bookmarkStart w:id="81" w:name="OLE_LINK201"/>
      <w:r>
        <w:rPr>
          <w:rFonts w:hint="eastAsia" w:ascii="宋体" w:hAnsi="宋体" w:cs="宋体"/>
          <w:color w:val="000000"/>
          <w:sz w:val="24"/>
          <w:szCs w:val="24"/>
          <w:highlight w:val="none"/>
        </w:rPr>
        <w:t xml:space="preserve">（</w:t>
      </w:r>
      <w:bookmarkStart w:id="82" w:name="OLE_LINK202"/>
      <w:r>
        <w:rPr>
          <w:rFonts w:hint="eastAsia" w:ascii="宋体" w:hAnsi="宋体" w:cs="宋体"/>
          <w:color w:val="000000"/>
          <w:sz w:val="24"/>
          <w:szCs w:val="24"/>
          <w:highlight w:val="none"/>
        </w:rPr>
        <w:t xml:space="preserve">22.5.2</w:t>
      </w:r>
      <w:bookmarkEnd w:id="82"/>
      <w:r>
        <w:rPr>
          <w:rFonts w:hint="eastAsia" w:ascii="宋体" w:hAnsi="宋体" w:cs="宋体"/>
          <w:color w:val="000000"/>
          <w:sz w:val="24"/>
          <w:szCs w:val="24"/>
          <w:highlight w:val="none"/>
        </w:rPr>
        <w:t xml:space="preserve">）</w:t>
      </w:r>
      <w:bookmarkEnd w:id="81"/>
      <w:r>
        <w:rPr>
          <w:rFonts w:hint="eastAsia" w:ascii="宋体" w:hAnsi="宋体" w:cs="宋体"/>
          <w:color w:val="000000"/>
          <w:sz w:val="24"/>
          <w:szCs w:val="24"/>
          <w:highlight w:val="none"/>
        </w:rPr>
        <w:t xml:space="preserve">和落实政府采购政策需进行的价格扣除外，不对投标人的投标价格进行任何调整。</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22.5.2 </w:t>
      </w:r>
      <w:bookmarkStart w:id="83"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①</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②</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大写金额和小写金额不一致的，以大写金额为准；</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③</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0"/>
        </w:numPr>
        <w:ind w:left="0" w:firstLine="638"/>
        <w:spacing w:line="360" w:lineRule="auto"/>
        <w:tabs>
          <w:tab w:val="left" w:pos="945"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 xml:space="preserve">④</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 xml:space="preserve">总价金额与按单价汇总金额不一致的，以单价金额计算结果为准。</w:t>
      </w:r>
      <w:r/>
    </w:p>
    <w:p>
      <w:pPr>
        <w:ind w:firstLine="420"/>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83"/>
      <w:r/>
      <w:bookmarkStart w:id="84" w:name="OLE_LINK135"/>
      <w:r/>
      <w:bookmarkEnd w:id="84"/>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 xml:space="preserve">评标委员会根据全体评标成员签字的原始评标记录和评标结果编写评标报告。</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23、定标</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23.2 </w:t>
      </w:r>
      <w:bookmarkStart w:id="85" w:name="_Hlk131935024"/>
      <w:r>
        <w:rPr>
          <w:rFonts w:hint="eastAsia" w:ascii="宋体" w:hAnsi="宋体"/>
          <w:bCs/>
          <w:color w:val="000000"/>
          <w:sz w:val="24"/>
          <w:szCs w:val="24"/>
          <w:highlight w:val="none"/>
          <w:lang w:val="zh-CN"/>
        </w:rPr>
        <w:t xml:space="preserve">中标结果确认后，</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w:t>
      </w:r>
      <w:r>
        <w:rPr>
          <w:rFonts w:hint="eastAsia" w:ascii="宋体" w:hAnsi="宋体" w:cs="宋体"/>
          <w:color w:val="000000"/>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85"/>
      <w:r>
        <w:rPr>
          <w:rFonts w:hint="eastAsia" w:ascii="宋体" w:hAnsi="宋体" w:cs="宋体"/>
          <w:color w:val="000000"/>
          <w:sz w:val="24"/>
          <w:szCs w:val="24"/>
          <w:highlight w:val="none"/>
        </w:rPr>
        <w:t xml:space="preserve">因未及时下载而造成的一切后果由中标供应商自行承担</w:t>
      </w:r>
      <w:r>
        <w:rPr>
          <w:rFonts w:hint="eastAsia" w:ascii="宋体" w:hAnsi="宋体"/>
          <w:bCs/>
          <w:color w:val="000000"/>
          <w:sz w:val="24"/>
          <w:szCs w:val="24"/>
          <w:highlight w:val="none"/>
          <w:lang w:val="zh-CN"/>
        </w:rPr>
        <w:t xml:space="preserve">。</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6"/>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机构改正后依法重新招标；</w:t>
      </w:r>
      <w:r/>
    </w:p>
    <w:p>
      <w:pPr>
        <w:numPr>
          <w:ilvl w:val="0"/>
          <w:numId w:val="6"/>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机构将废标理由通知所有投标人：</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27.4</w:t>
      </w:r>
      <w:r>
        <w:rPr>
          <w:rFonts w:hint="eastAsia" w:ascii="宋体" w:hAnsi="宋体"/>
          <w:bCs/>
          <w:color w:val="000000"/>
          <w:sz w:val="24"/>
          <w:szCs w:val="24"/>
          <w:highlight w:val="none"/>
          <w:lang w:val="en-US" w:eastAsia="zh-CN"/>
        </w:rPr>
        <w:t xml:space="preserve"> </w:t>
      </w:r>
      <w:r>
        <w:rPr>
          <w:rFonts w:hint="eastAsia" w:ascii="宋体" w:hAnsi="宋体"/>
          <w:bCs/>
          <w:color w:val="auto"/>
          <w:sz w:val="24"/>
          <w:szCs w:val="24"/>
          <w:highlight w:val="none"/>
        </w:rPr>
        <w:t xml:space="preserve">本项目不收取</w:t>
      </w:r>
      <w:r>
        <w:rPr>
          <w:rFonts w:hint="eastAsia" w:ascii="宋体" w:hAnsi="宋体"/>
          <w:bCs/>
          <w:color w:val="auto"/>
          <w:sz w:val="24"/>
          <w:szCs w:val="24"/>
          <w:highlight w:val="none"/>
          <w:lang w:val="zh-CN"/>
        </w:rPr>
        <w:t xml:space="preserve">履约保证金。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86"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87" w:name="OLE_LINK2"/>
      <w:r>
        <w:rPr>
          <w:rFonts w:hint="eastAsia" w:ascii="宋体" w:hAnsi="宋体"/>
          <w:bCs/>
          <w:color w:val="000000"/>
          <w:sz w:val="24"/>
          <w:szCs w:val="24"/>
          <w:highlight w:val="none"/>
          <w:lang w:val="zh-CN"/>
        </w:rPr>
        <w:t xml:space="preserve">。</w:t>
      </w:r>
      <w:bookmarkEnd w:id="86"/>
      <w:r/>
      <w:bookmarkEnd w:id="87"/>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8" w:name="_Hlk128408877"/>
      <w:r>
        <w:rPr>
          <w:rFonts w:hint="eastAsia" w:ascii="宋体" w:hAnsi="宋体"/>
          <w:b/>
          <w:color w:val="000000"/>
          <w:sz w:val="24"/>
          <w:szCs w:val="24"/>
          <w:highlight w:val="none"/>
        </w:rPr>
        <w:t xml:space="preserve">政府采购合同融资</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8"/>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89"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w:t>
      </w:r>
      <w:r>
        <w:rPr>
          <w:rFonts w:hint="eastAsia" w:ascii="宋体" w:hAnsi="宋体"/>
          <w:bCs/>
          <w:color w:val="000000"/>
          <w:sz w:val="24"/>
          <w:szCs w:val="24"/>
          <w:highlight w:val="none"/>
          <w:lang w:val="en-US" w:eastAsia="zh-CN"/>
        </w:rPr>
        <w:t xml:space="preserve">招标代理</w:t>
      </w:r>
      <w:r>
        <w:rPr>
          <w:rFonts w:hint="eastAsia" w:ascii="宋体" w:hAnsi="宋体"/>
          <w:bCs/>
          <w:color w:val="000000"/>
          <w:sz w:val="24"/>
          <w:szCs w:val="24"/>
          <w:highlight w:val="none"/>
          <w:lang w:val="zh-CN"/>
        </w:rPr>
        <w:t xml:space="preserve">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90"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90"/>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91"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91"/>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92"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93"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spacing w:line="360" w:lineRule="auto"/>
        <w:rPr>
          <w:rFonts w:hint="eastAsia"/>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89"/>
      <w:r/>
      <w:bookmarkEnd w:id="93"/>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ind w:firstLine="48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.2</w:t>
      </w:r>
      <w:r>
        <w:rPr>
          <w:rFonts w:ascii="宋体" w:hAnsi="宋体" w:cs="宋体"/>
          <w:color w:val="auto"/>
          <w:sz w:val="24"/>
          <w:szCs w:val="24"/>
          <w:highlight w:val="none"/>
        </w:rPr>
        <w:t xml:space="preserve">若按相关规定提出的质疑、投诉成立或因其他情况，取消第一中标候选人的中标资格，则本项目须重新组织采购活动。</w:t>
      </w:r>
      <w:r/>
    </w:p>
    <w:p>
      <w:pPr>
        <w:pStyle w:val="1069"/>
        <w:rPr>
          <w:rFonts w:hint="eastAsia"/>
          <w:highlight w:val="none"/>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r>
      <w:r/>
    </w:p>
    <w:p>
      <w:pPr>
        <w:pStyle w:val="1049"/>
        <w:spacing w:line="360" w:lineRule="auto"/>
        <w:rPr>
          <w:rFonts w:hint="eastAsia" w:ascii="Times New Roman" w:hAnsi="Times New Roman" w:eastAsia="宋体" w:cs="Times New Roman"/>
          <w:highlight w:val="none"/>
        </w:rPr>
      </w:pPr>
      <w:r/>
      <w:bookmarkStart w:id="94" w:name="_Toc17942"/>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三</w:t>
      </w:r>
      <w:r>
        <w:rPr>
          <w:rFonts w:hint="eastAsia" w:ascii="Times New Roman" w:hAnsi="Times New Roman" w:eastAsia="宋体" w:cs="Times New Roman"/>
          <w:highlight w:val="none"/>
        </w:rPr>
        <w:t xml:space="preserve">章 项目技术要求和有关说明</w:t>
      </w:r>
      <w:bookmarkEnd w:id="7"/>
      <w:r/>
      <w:bookmarkEnd w:id="94"/>
      <w:r/>
      <w:r/>
    </w:p>
    <w:p>
      <w:pPr>
        <w:pStyle w:val="1061"/>
        <w:ind w:left="0" w:right="0" w:firstLine="482"/>
        <w:jc w:val="both"/>
        <w:keepLines w:val="0"/>
        <w:keepNext w:val="0"/>
        <w:spacing w:before="0" w:beforeAutospacing="0" w:after="5" w:afterAutospacing="0" w:line="0" w:lineRule="atLeast"/>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5" w:name="_Toc19794"/>
      <w:r>
        <w:rPr>
          <w:rFonts w:hint="eastAsia" w:ascii="宋体" w:hAnsi="宋体" w:eastAsia="宋体" w:cs="宋体"/>
          <w:b/>
          <w:bCs/>
          <w:color w:val="000000"/>
          <w:sz w:val="24"/>
          <w:szCs w:val="24"/>
          <w:highlight w:val="none"/>
          <w:lang w:val="en-US" w:eastAsia="zh-CN"/>
        </w:rPr>
        <w:t xml:space="preserve">一、项目概况</w:t>
      </w:r>
      <w:r/>
    </w:p>
    <w:p>
      <w:p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本项目为苏省宜兴第一中学周铁分校理化生实验室设备采购(第二批)</w:t>
      </w:r>
      <w:r>
        <w:rPr>
          <w:rFonts w:hint="eastAsia" w:ascii="宋体" w:hAnsi="宋体"/>
          <w:color w:val="auto"/>
          <w:sz w:val="24"/>
          <w:szCs w:val="24"/>
          <w:highlight w:val="none"/>
          <w:lang w:eastAsia="zh-CN"/>
        </w:rPr>
        <w:t xml:space="preserve">采购项目，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需求清单</w:t>
      </w:r>
      <w:r/>
    </w:p>
    <w:tbl>
      <w:tblPr>
        <w:tblStyle w:val="874"/>
        <w:tblpPr w:horzAnchor="page" w:tblpX="1054" w:vertAnchor="text" w:tblpY="285" w:leftFromText="180" w:topFromText="0" w:rightFromText="180" w:bottomFromText="0"/>
        <w:tblW w:w="527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038"/>
        <w:gridCol w:w="5223"/>
        <w:gridCol w:w="611"/>
        <w:gridCol w:w="462"/>
        <w:gridCol w:w="866"/>
        <w:gridCol w:w="149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default" w:ascii="宋体" w:hAnsi="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单项限价</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参考图片</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386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56座物理电学实验室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钢木</w:t>
            </w:r>
            <w:r>
              <w:rPr>
                <w:rFonts w:hint="eastAsia" w:ascii="宋体" w:hAnsi="宋体" w:eastAsia="宋体" w:cs="宋体"/>
                <w:i w:val="0"/>
                <w:iCs w:val="0"/>
                <w:color w:val="000000"/>
                <w:sz w:val="20"/>
                <w:szCs w:val="20"/>
                <w:u w:val="none"/>
                <w:lang w:val="en-US" w:eastAsia="zh-CN" w:bidi="ar"/>
              </w:rPr>
              <w:t xml:space="preserve">教师桌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sz w:val="20"/>
                <w:szCs w:val="18"/>
              </w:rPr>
            </w:pPr>
            <w:r>
              <w:rPr>
                <w:rFonts w:hint="eastAsia" w:ascii="宋体" w:hAnsi="宋体" w:eastAsia="宋体" w:cs="宋体"/>
                <w:sz w:val="20"/>
                <w:szCs w:val="18"/>
              </w:rPr>
              <w:t xml:space="preserve">1</w:t>
            </w:r>
            <w:r>
              <w:rPr>
                <w:rFonts w:hint="eastAsia" w:ascii="宋体" w:hAnsi="宋体" w:cs="宋体"/>
                <w:sz w:val="20"/>
                <w:szCs w:val="18"/>
                <w:lang w:val="en-US" w:eastAsia="zh-CN"/>
              </w:rPr>
              <w:t xml:space="preserve">.</w:t>
            </w:r>
            <w:r>
              <w:rPr>
                <w:rFonts w:hint="eastAsia" w:ascii="宋体" w:hAnsi="宋体" w:eastAsia="宋体" w:cs="宋体"/>
                <w:sz w:val="20"/>
                <w:szCs w:val="18"/>
              </w:rPr>
              <w:t xml:space="preserve">规格：2400×700×850mm±10mm；</w:t>
            </w:r>
            <w:r/>
          </w:p>
          <w:p>
            <w:pPr>
              <w:rPr>
                <w:rFonts w:hint="eastAsia" w:ascii="宋体" w:hAnsi="宋体" w:eastAsia="宋体" w:cs="宋体"/>
                <w:sz w:val="20"/>
                <w:szCs w:val="18"/>
                <w:lang w:eastAsia="zh-CN"/>
              </w:rPr>
            </w:pPr>
            <w:r>
              <w:rPr>
                <w:rFonts w:hint="eastAsia" w:ascii="宋体" w:hAnsi="宋体" w:eastAsia="宋体" w:cs="宋体"/>
                <w:sz w:val="20"/>
                <w:szCs w:val="18"/>
              </w:rPr>
              <w:t xml:space="preserve">2</w:t>
            </w:r>
            <w:r>
              <w:rPr>
                <w:rFonts w:hint="eastAsia" w:ascii="宋体" w:hAnsi="宋体" w:cs="宋体"/>
                <w:sz w:val="20"/>
                <w:szCs w:val="18"/>
                <w:lang w:val="en-US" w:eastAsia="zh-CN"/>
              </w:rPr>
              <w:t xml:space="preserve">.</w:t>
            </w:r>
            <w:r>
              <w:rPr>
                <w:rFonts w:hint="eastAsia" w:ascii="宋体" w:hAnsi="宋体" w:eastAsia="宋体" w:cs="宋体"/>
                <w:sz w:val="20"/>
                <w:szCs w:val="18"/>
              </w:rPr>
              <w:t xml:space="preserve">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rPr>
                <w:rFonts w:hint="eastAsia" w:ascii="宋体" w:hAnsi="宋体" w:eastAsia="宋体" w:cs="宋体"/>
                <w:sz w:val="20"/>
                <w:szCs w:val="18"/>
              </w:rPr>
            </w:pPr>
            <w:r>
              <w:rPr>
                <w:rFonts w:hint="eastAsia" w:ascii="宋体" w:hAnsi="宋体" w:eastAsia="宋体" w:cs="宋体"/>
                <w:sz w:val="20"/>
                <w:szCs w:val="18"/>
              </w:rPr>
              <w:t xml:space="preserve">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r/>
          </w:p>
          <w:p>
            <w:pPr>
              <w:rPr>
                <w:rFonts w:hint="eastAsia" w:ascii="宋体" w:hAnsi="宋体" w:eastAsia="宋体" w:cs="宋体"/>
                <w:sz w:val="20"/>
                <w:szCs w:val="18"/>
              </w:rPr>
            </w:pPr>
            <w:r>
              <w:rPr>
                <w:rFonts w:hint="eastAsia" w:ascii="宋体" w:hAnsi="宋体" w:eastAsia="宋体" w:cs="宋体"/>
                <w:sz w:val="20"/>
                <w:szCs w:val="18"/>
              </w:rPr>
              <w:t xml:space="preserve">4.门铰：采用阻尼铰链。自闭式，与柜体面水平角度&lt;15度时，柜门即可自行关闭，使用过程中无噪音，可开关十万次。</w:t>
            </w:r>
            <w:r/>
          </w:p>
          <w:p>
            <w:pPr>
              <w:rPr>
                <w:rFonts w:hint="eastAsia" w:ascii="宋体" w:hAnsi="宋体" w:eastAsia="宋体" w:cs="宋体"/>
                <w:sz w:val="20"/>
                <w:szCs w:val="18"/>
              </w:rPr>
            </w:pPr>
            <w:r>
              <w:rPr>
                <w:rFonts w:hint="eastAsia" w:ascii="宋体" w:hAnsi="宋体" w:eastAsia="宋体" w:cs="宋体"/>
                <w:sz w:val="20"/>
                <w:szCs w:val="18"/>
              </w:rPr>
              <w:t xml:space="preserve">5.滑轨：采用阻尼三节滑轨。</w:t>
            </w:r>
            <w:r/>
          </w:p>
          <w:p>
            <w:pPr>
              <w:rPr>
                <w:rFonts w:hint="eastAsia" w:ascii="宋体" w:hAnsi="宋体" w:eastAsia="宋体" w:cs="宋体"/>
                <w:sz w:val="20"/>
                <w:szCs w:val="18"/>
              </w:rPr>
            </w:pPr>
            <w:r>
              <w:rPr>
                <w:rFonts w:hint="eastAsia" w:ascii="宋体" w:hAnsi="宋体" w:eastAsia="宋体" w:cs="宋体"/>
                <w:sz w:val="20"/>
                <w:szCs w:val="18"/>
              </w:rPr>
              <w:t xml:space="preserve">6.手抽:一字型，表面有光滑防腐涂层。</w:t>
            </w:r>
            <w:r/>
          </w:p>
          <w:p>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 xml:space="preserve">7.固定脚：采用ABS工程塑料模具成型制作而成，具有高度可调、耐磨、防潮、耐腐蚀等特点。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2030" cy="416560"/>
                      <wp:effectExtent l="0" t="0" r="7620"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1002030" cy="416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8.9pt;height:32.8pt;mso-wrap-distance-left:0.0pt;mso-wrap-distance-top:0.0pt;mso-wrap-distance-right:0.0pt;mso-wrap-distance-bottom:0.0pt;" stroked="f">
                      <v:path textboxrect="0,0,0,0"/>
                      <v:imagedata r:id="rId18" o:title=""/>
                    </v:shape>
                  </w:pict>
                </mc:Fallback>
              </mc:AlternateContent>
            </w:r>
            <w:r/>
          </w:p>
        </w:tc>
      </w:tr>
      <w:tr>
        <w:trPr>
          <w:trHeight w:val="167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contextualSpacing/>
              <w:spacing w:after="0"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规格：1200*600*780mm±10mm</w:t>
            </w:r>
            <w:r>
              <w:rPr>
                <w:rFonts w:hint="eastAsia" w:ascii="宋体" w:hAnsi="宋体" w:cs="宋体"/>
                <w:color w:val="auto"/>
                <w:sz w:val="20"/>
                <w:szCs w:val="20"/>
                <w:lang w:val="en-US" w:eastAsia="zh-CN"/>
              </w:rPr>
              <w:t xml:space="preserve">；</w:t>
            </w:r>
            <w:r/>
          </w:p>
          <w:p>
            <w:pPr>
              <w:rPr>
                <w:rFonts w:hint="eastAsia" w:ascii="宋体" w:hAnsi="宋体" w:eastAsia="宋体" w:cs="宋体"/>
                <w:sz w:val="20"/>
                <w:szCs w:val="18"/>
                <w:lang w:eastAsia="zh-CN"/>
              </w:rPr>
            </w:pPr>
            <w:r>
              <w:rPr>
                <w:rFonts w:hint="eastAsia" w:ascii="宋体" w:hAnsi="宋体" w:eastAsia="宋体" w:cs="宋体"/>
                <w:color w:val="auto"/>
                <w:sz w:val="20"/>
                <w:szCs w:val="20"/>
                <w:lang w:val="en-US" w:eastAsia="zh-CN"/>
              </w:rPr>
              <w:t xml:space="preserve">2</w:t>
            </w:r>
            <w:r>
              <w:rPr>
                <w:rFonts w:hint="eastAsia" w:ascii="宋体" w:hAnsi="宋体" w:cs="宋体"/>
                <w:color w:val="auto"/>
                <w:sz w:val="20"/>
                <w:szCs w:val="20"/>
                <w:lang w:val="en-US" w:eastAsia="zh-CN"/>
              </w:rPr>
              <w:t xml:space="preserve">.</w:t>
            </w:r>
            <w:r>
              <w:rPr>
                <w:rFonts w:hint="eastAsia" w:ascii="宋体" w:hAnsi="宋体" w:eastAsia="宋体" w:cs="宋体"/>
                <w:sz w:val="20"/>
                <w:szCs w:val="18"/>
              </w:rPr>
              <w:t xml:space="preserve">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color w:val="auto"/>
                <w:sz w:val="20"/>
                <w:szCs w:val="20"/>
                <w:lang w:val="en-US"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numPr>
                <w:ilvl w:val="0"/>
                <w:numId w:val="0"/>
              </w:numPr>
              <w:contextualSpacing/>
              <w:spacing w:after="0"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结构：新型塑铝结构,学生位镂空式，主框架字型结构：桌身：由桌腿、立柱、前横梁、中横梁、后横梁组成</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br/>
            </w:r>
            <w:r>
              <w:rPr>
                <w:rFonts w:hint="eastAsia" w:ascii="宋体" w:hAnsi="宋体" w:eastAsia="宋体" w:cs="宋体"/>
                <w:color w:val="auto"/>
                <w:sz w:val="20"/>
                <w:szCs w:val="20"/>
                <w:lang w:val="en-US" w:eastAsia="zh-CN"/>
              </w:rPr>
              <w:t xml:space="preserve">4</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主框架字型结构材质：采用工字型压铸铝一次成型，采用铝镁合金材料，</w:t>
            </w:r>
            <w:r>
              <w:rPr>
                <w:rFonts w:hint="eastAsia" w:ascii="宋体" w:hAnsi="宋体" w:cs="宋体"/>
                <w:color w:val="auto"/>
                <w:sz w:val="20"/>
                <w:szCs w:val="20"/>
                <w:lang w:val="en-US" w:eastAsia="zh-CN"/>
              </w:rPr>
              <w:t xml:space="preserve">桌腿</w:t>
            </w:r>
            <w:r>
              <w:rPr>
                <w:rFonts w:hint="eastAsia" w:ascii="宋体" w:hAnsi="宋体" w:eastAsia="宋体" w:cs="宋体"/>
                <w:color w:val="auto"/>
                <w:sz w:val="20"/>
                <w:szCs w:val="20"/>
                <w:lang w:val="en-US" w:eastAsia="zh-CN"/>
              </w:rPr>
              <w:t xml:space="preserve">壁厚≥3mm，材料表面经高压静电喷涂环氧树脂防护层，耐酸碱，耐腐蚀处理。</w:t>
            </w:r>
            <w:r/>
          </w:p>
          <w:p>
            <w:pPr>
              <w:numPr>
                <w:ilvl w:val="0"/>
                <w:numId w:val="0"/>
              </w:numPr>
              <w:contextualSpacing/>
              <w:spacing w:after="0" w:line="240" w:lineRule="auto"/>
              <w:rPr>
                <w:rFonts w:hint="eastAsia" w:ascii="宋体" w:hAnsi="宋体" w:eastAsia="宋体" w:cs="宋体"/>
                <w:i w:val="0"/>
                <w:iCs w:val="0"/>
                <w:color w:val="auto"/>
                <w:sz w:val="20"/>
                <w:szCs w:val="20"/>
                <w:u w:val="none"/>
              </w:rPr>
            </w:pPr>
            <w:r>
              <w:rPr>
                <w:rFonts w:hint="eastAsia" w:ascii="宋体" w:hAnsi="宋体" w:eastAsia="宋体" w:cs="宋体"/>
                <w:color w:val="auto"/>
                <w:sz w:val="20"/>
                <w:szCs w:val="20"/>
                <w:lang w:val="en-US" w:eastAsia="zh-CN"/>
              </w:rPr>
              <w:t xml:space="preserve">5</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书包斗：采用PP材料，需配套实验桌，模具一次性注塑成型,上面设计有可悬挂凳子的圆形孔</w:t>
            </w:r>
            <w:r>
              <w:rPr>
                <w:rFonts w:hint="eastAsia" w:ascii="宋体" w:hAnsi="宋体" w:cs="宋体"/>
                <w:color w:val="auto"/>
                <w:sz w:val="20"/>
                <w:szCs w:val="20"/>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45360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719455"/>
                      <wp:effectExtent l="0" t="0" r="5080" b="4445"/>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r/>
                            </pic:nvPicPr>
                            <pic:blipFill>
                              <a:blip r:embed="rId19"/>
                              <a:stretch/>
                            </pic:blipFill>
                            <pic:spPr bwMode="auto">
                              <a:xfrm>
                                <a:off x="0" y="0"/>
                                <a:ext cx="1004570"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1pt;height:56.6pt;mso-wrap-distance-left:0.0pt;mso-wrap-distance-top:0.0pt;mso-wrap-distance-right:0.0pt;mso-wrap-distance-bottom:0.0pt;" stroked="f">
                      <v:path textboxrect="0,0,0,0"/>
                      <v:imagedata r:id="rId1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规格335mm*195mm*765mm±10mm，选用全钢结构，主体材质为≥1.0mm镀锌钢板，板材均采用≥1.0mm 的镀锌钢板，自动喷涂线喷涂环氧树脂粉末静电吸附等几道工艺制作而成，具备较强抗氧化和防腐蚀、耐酸碱功能，喷涂异化颜色，主体颜色与学生桌桌体颜色一致，让产品形象更加立体、突出，电缆线、通风管等管线均布置于箱体内部，避免管线外露，确保使用的安全。留有检修口，方便检修。</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521970" cy="838835"/>
                      <wp:effectExtent l="0" t="0" r="0" b="18415"/>
                      <wp:docPr id="8" name="图片 1" descr="167566733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675667333369"/>
                              <pic:cNvPicPr>
                                <a:picLocks noChangeAspect="1"/>
                              </pic:cNvPicPr>
                              <pic:nvPr/>
                            </pic:nvPicPr>
                            <pic:blipFill>
                              <a:blip r:embed="rId20"/>
                              <a:stretch/>
                            </pic:blipFill>
                            <pic:spPr bwMode="auto">
                              <a:xfrm>
                                <a:off x="0" y="0"/>
                                <a:ext cx="521970" cy="838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1pt;height:66.0pt;mso-wrap-distance-left:0.0pt;mso-wrap-distance-top:0.0pt;mso-wrap-distance-right:0.0pt;mso-wrap-distance-bottom:0.0pt;" stroked="f" strokeweight="0.75pt">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数控电源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1.实验台外壳采用美观大方高档的铝镁合金。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2.交流输出：1.5-24V、2A  连续可调  直流稳压：1.25-24V、2A 无级调压 直流稳压：6V、0.5A；采用防脱式接线柱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3.手动或自动过载保护，独立的学生电源，有电压、电流表和测试表指示，具有220V漏电开关保护和多功能五孔插座（带安全门，可插任何插头）</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23800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26160" cy="370205"/>
                      <wp:effectExtent l="0" t="0" r="2540" b="10795"/>
                      <wp:docPr id="9" name="图片 16" descr="1624416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descr="1624416799(1)"/>
                              <pic:cNvPicPr>
                                <a:picLocks noChangeAspect="1"/>
                              </pic:cNvPicPr>
                              <pic:nvPr/>
                            </pic:nvPicPr>
                            <pic:blipFill>
                              <a:blip r:embed="rId21"/>
                              <a:stretch/>
                            </pic:blipFill>
                            <pic:spPr bwMode="auto">
                              <a:xfrm>
                                <a:off x="0" y="0"/>
                                <a:ext cx="1026160" cy="370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0.8pt;height:29.1pt;mso-wrap-distance-left:0.0pt;mso-wrap-distance-top:0.0pt;mso-wrap-distance-right:0.0pt;mso-wrap-distance-bottom:0.0pt;" stroked="f" strokeweight="0.75pt">
                      <v:path textboxrect="0,0,0,0"/>
                      <v:imagedata r:id="rId2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教师总控电源</w:t>
            </w:r>
            <w:r>
              <w:rPr>
                <w:rFonts w:hint="eastAsia" w:ascii="宋体" w:hAnsi="宋体" w:cs="宋体"/>
                <w:i w:val="0"/>
                <w:iCs w:val="0"/>
                <w:color w:val="000000"/>
                <w:sz w:val="20"/>
                <w:szCs w:val="20"/>
                <w:u w:val="none"/>
                <w:lang w:val="en-US" w:eastAsia="zh-CN" w:bidi="ar"/>
              </w:rPr>
              <w:t xml:space="preserve">（带直流）</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1.教师演示台配备总漏电保护和分组保护，可分组控制学生的高低压电源，确保学生实验安全方便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2.教师电源总控采用采用数字化键盘轻触操作控制，采用高亮数码显示电源电压；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3.教师交流电源通过智能控制按键直接选取0V～24V电压，最小调节单元可达1V,额定电流3A，具有过载保护智能检测功能， 按钮手动复位，防止反复冲击负载。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4.教师直流电源也是通过智能控制按键直接选取，调节范围为0～24V，分辨率可达0.1V,额定电流3A，亦具有过载保护智能检测功能，</w:t>
            </w:r>
            <w:r>
              <w:rPr>
                <w:rFonts w:hint="eastAsia" w:ascii="宋体" w:hAnsi="宋体" w:eastAsia="宋体" w:cs="宋体"/>
                <w:i w:val="0"/>
                <w:iCs w:val="0"/>
                <w:color w:val="0000ff"/>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按钮手动复位，防止反复冲击负载。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5.低压大电流值为40A，自动关断；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6.220V交流输出为带安全门的插座，带有过载保护和电源指示。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直流高压240V、300V二挡输出电流100</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681355"/>
                      <wp:effectExtent l="0" t="0" r="3810" b="444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2"/>
                              <a:stretch/>
                            </pic:blipFill>
                            <pic:spPr bwMode="auto">
                              <a:xfrm>
                                <a:off x="0" y="0"/>
                                <a:ext cx="1005840" cy="681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9.2pt;height:53.6pt;mso-wrap-distance-left:0.0pt;mso-wrap-distance-top:0.0pt;mso-wrap-distance-right:0.0pt;mso-wrap-distance-bottom:0.0pt;" stroked="f">
                      <v:path textboxrect="0,0,0,0"/>
                      <v:imagedata r:id="rId2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规格:315*420-</w:t>
            </w:r>
            <w:r>
              <w:rPr>
                <w:rFonts w:hint="eastAsia" w:ascii="宋体" w:hAnsi="宋体" w:cs="宋体"/>
                <w:i w:val="0"/>
                <w:iCs w:val="0"/>
                <w:color w:val="000000"/>
                <w:sz w:val="20"/>
                <w:szCs w:val="20"/>
                <w:u w:val="none"/>
                <w:lang w:val="en-US" w:eastAsia="zh-CN" w:bidi="ar"/>
              </w:rPr>
              <w:t xml:space="preserve">480mm±10mm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凳脚材质:4个凳脚采用20*40*</w:t>
            </w:r>
            <w:r>
              <w:rPr>
                <w:rFonts w:hint="eastAsia" w:ascii="宋体" w:hAnsi="宋体" w:cs="宋体"/>
                <w:i w:val="0"/>
                <w:iCs w:val="0"/>
                <w:color w:val="000000"/>
                <w:sz w:val="20"/>
                <w:szCs w:val="20"/>
                <w:u w:val="none"/>
                <w:lang w:val="en-US" w:eastAsia="zh-CN" w:bidi="ar"/>
              </w:rPr>
              <w:t xml:space="preserve">1.1mm</w:t>
            </w:r>
            <w:r>
              <w:rPr>
                <w:rFonts w:hint="eastAsia" w:ascii="宋体" w:hAnsi="宋体" w:eastAsia="宋体" w:cs="宋体"/>
                <w:i w:val="0"/>
                <w:iCs w:val="0"/>
                <w:color w:val="000000"/>
                <w:sz w:val="20"/>
                <w:szCs w:val="20"/>
                <w:u w:val="none"/>
                <w:lang w:val="en-US" w:eastAsia="zh-CN" w:bidi="ar"/>
              </w:rPr>
              <w:t xml:space="preserve">椭圆形无缝钢管模具一次成型,全圆满焊完成,结构牢固,经高温粉体烤漆处理,长时间使用也不会产生表面烤漆剥落现象；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凳面:凳面直径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采用环保型PP改性塑料一次性注塑成型;凳面表面有颗粒状凸起起到按摩作用；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托盘:凳面下装有直径大于</w:t>
            </w:r>
            <w:r>
              <w:rPr>
                <w:rFonts w:hint="eastAsia" w:ascii="宋体" w:hAnsi="宋体" w:cs="宋体"/>
                <w:i w:val="0"/>
                <w:iCs w:val="0"/>
                <w:color w:val="000000"/>
                <w:sz w:val="20"/>
                <w:szCs w:val="20"/>
                <w:u w:val="none"/>
                <w:lang w:val="en-US" w:eastAsia="zh-CN" w:bidi="ar"/>
              </w:rPr>
              <w:t xml:space="preserve">156mm</w:t>
            </w:r>
            <w:r>
              <w:rPr>
                <w:rFonts w:hint="eastAsia" w:ascii="宋体" w:hAnsi="宋体" w:eastAsia="宋体" w:cs="宋体"/>
                <w:i w:val="0"/>
                <w:iCs w:val="0"/>
                <w:color w:val="000000"/>
                <w:sz w:val="20"/>
                <w:szCs w:val="20"/>
                <w:u w:val="none"/>
                <w:lang w:val="en-US" w:eastAsia="zh-CN" w:bidi="ar"/>
              </w:rPr>
              <w:t xml:space="preserve">的托盘,厚度不小于</w:t>
            </w:r>
            <w:r>
              <w:rPr>
                <w:rFonts w:hint="eastAsia" w:ascii="宋体" w:hAnsi="宋体" w:cs="宋体"/>
                <w:i w:val="0"/>
                <w:iCs w:val="0"/>
                <w:color w:val="000000"/>
                <w:sz w:val="20"/>
                <w:szCs w:val="20"/>
                <w:u w:val="none"/>
                <w:lang w:val="en-US" w:eastAsia="zh-CN" w:bidi="ar"/>
              </w:rPr>
              <w:t xml:space="preserve">1.4mm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Style w:val="1080"/>
                <w:rFonts w:hint="eastAsia" w:ascii="宋体" w:hAnsi="宋体" w:eastAsia="宋体" w:cs="宋体"/>
                <w:color w:val="auto"/>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10360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270000"/>
                      <wp:effectExtent l="0" t="0" r="4445" b="635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23"/>
                              <a:stretch/>
                            </pic:blipFill>
                            <pic:spPr bwMode="auto">
                              <a:xfrm>
                                <a:off x="0" y="0"/>
                                <a:ext cx="100520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9.1pt;height:100.0pt;mso-wrap-distance-left:0.0pt;mso-wrap-distance-top:0.0pt;mso-wrap-distance-right:0.0pt;mso-wrap-distance-bottom:0.0pt;" stroked="f">
                      <v:path textboxrect="0,0,0,0"/>
                      <v:imagedata r:id="rId2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354"/>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钢木</w:t>
            </w: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全钢结构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一体化台面，每边4个抽屉、</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组对开门，基本要求如下：</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台面尺寸（度宽高）3000mm×1100mm×800mm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w:t>
            </w:r>
            <w:r/>
          </w:p>
          <w:p>
            <w:pPr>
              <w:rPr>
                <w:rFonts w:hint="eastAsia" w:ascii="宋体" w:hAnsi="宋体" w:eastAsia="宋体" w:cs="宋体"/>
                <w:sz w:val="20"/>
                <w:szCs w:val="18"/>
                <w:lang w:eastAsia="zh-CN"/>
              </w:rPr>
            </w:pPr>
            <w:r>
              <w:rPr>
                <w:rFonts w:hint="eastAsia" w:ascii="宋体" w:hAnsi="宋体" w:eastAsia="宋体" w:cs="宋体"/>
                <w:i w:val="0"/>
                <w:iCs w:val="0"/>
                <w:color w:val="000000"/>
                <w:sz w:val="20"/>
                <w:szCs w:val="20"/>
                <w:lang w:val="en-US" w:eastAsia="zh-CN" w:bidi="ar"/>
              </w:rPr>
              <w:t xml:space="preserve">2</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sz w:val="20"/>
                <w:szCs w:val="18"/>
              </w:rPr>
              <w:t xml:space="preserve">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台身：采用≥1.0mm厚镀锌钢板，钢板表面经环氧树脂静电粉末喷涂。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桌脚：采用直径不小于10mm的螺杆与ABS工程塑料一次注塑成型的脚垫，高度可调节。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5</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柜门铰链：采用不锈钢定位铰链，铰链的壁厚不小于1.5mm。</w:t>
            </w:r>
            <w:r/>
          </w:p>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 xml:space="preserve">6</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抽屉滑道：采用消声三节滑轨，壁厚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1.5mm合金钢板一次性成型加工，表面经环氧树脂静电喷涂。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15850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899160"/>
                      <wp:effectExtent l="0" t="0" r="3810" b="1524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r/>
                            </pic:nvPicPr>
                            <pic:blipFill>
                              <a:blip r:embed="rId24"/>
                              <a:stretch/>
                            </pic:blipFill>
                            <pic:spPr bwMode="auto">
                              <a:xfrm>
                                <a:off x="0" y="0"/>
                                <a:ext cx="1005840"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9.2pt;height:70.8pt;mso-wrap-distance-left:0.0pt;mso-wrap-distance-top:0.0pt;mso-wrap-distance-right:0.0pt;mso-wrap-distance-bottom:0.0pt;" stroked="f">
                      <v:path textboxrect="0,0,0,0"/>
                      <v:imagedata r:id="rId2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整体规格：1000mm（L）×500mm（W）×2000mm（H）</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整体采用环保型ABS塑料一次性注塑成型，层板采用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2.5mm厚双面环保型PP改性塑料，耐强酸碱及有机溶剂，内设加强筋。</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柜体：榫卯连接结构并合理布局加强筋，安装时不用胶水粘结，不用任何金属螺丝。</w:t>
            </w:r>
            <w:r/>
          </w:p>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0"/>
                <w:szCs w:val="20"/>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上部为ABS工程塑料镶装玻璃对开门,带锁、内嵌式塑料扣手，尼龙塑料铰链，高强度耐磨，防水、永不生锈，内设PP改性活动隔板2块。</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下部为ABS工程塑料对开门，带</w:t>
            </w:r>
            <w:r>
              <w:rPr>
                <w:rFonts w:hint="eastAsia" w:ascii="宋体" w:hAnsi="宋体" w:eastAsia="宋体" w:cs="宋体"/>
                <w:i w:val="0"/>
                <w:iCs w:val="0"/>
                <w:color w:val="000000"/>
                <w:sz w:val="20"/>
                <w:szCs w:val="20"/>
                <w:u w:val="none"/>
                <w:lang w:val="en-US" w:eastAsia="zh-CN" w:bidi="ar"/>
              </w:rPr>
              <w:t xml:space="preserve">锁、内嵌式塑料扣手，采用尼龙塑料铰链，内设PP改性塑料活动隔板1块。门板与侧板并安装有防盗插销，防止从外部撬开柜门。底座高80mm，上下板30mm，重要部位加厚处理，从而使产品更牢固，结实耐用。</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仪器</w:t>
            </w:r>
            <w:r>
              <w:rPr>
                <w:rFonts w:hint="eastAsia" w:ascii="宋体" w:hAnsi="宋体" w:cs="宋体"/>
                <w:i w:val="0"/>
                <w:iCs w:val="0"/>
                <w:color w:val="000000"/>
                <w:sz w:val="20"/>
                <w:szCs w:val="20"/>
                <w:highlight w:val="none"/>
                <w:u w:val="none"/>
                <w:lang w:val="en-US" w:eastAsia="zh-CN" w:bidi="ar"/>
              </w:rPr>
              <w:t xml:space="preserve">塑料件</w:t>
            </w:r>
            <w:r>
              <w:rPr>
                <w:rFonts w:hint="eastAsia" w:ascii="宋体" w:hAnsi="宋体" w:eastAsia="宋体" w:cs="宋体"/>
                <w:i w:val="0"/>
                <w:iCs w:val="0"/>
                <w:color w:val="000000"/>
                <w:sz w:val="20"/>
                <w:szCs w:val="20"/>
                <w:highlight w:val="none"/>
                <w:u w:val="none"/>
                <w:lang w:val="en-US" w:eastAsia="zh-CN" w:bidi="ar"/>
              </w:rPr>
              <w:t xml:space="preserve">符合：</w:t>
            </w:r>
            <w:r/>
          </w:p>
          <w:p>
            <w:pPr>
              <w:numPr>
                <w:ilvl w:val="0"/>
                <w:numId w:val="0"/>
              </w:numPr>
              <w:jc w:val="left"/>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（1）塑料材料理化性能：冲击强度≥</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0J/㎡</w:t>
            </w:r>
            <w:r>
              <w:rPr>
                <w:rFonts w:hint="eastAsia" w:ascii="宋体" w:hAnsi="宋体" w:cs="宋体"/>
                <w:i w:val="0"/>
                <w:iCs w:val="0"/>
                <w:color w:val="000000"/>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塑料件硬度：邵氏D硬度≥HD</w:t>
            </w:r>
            <w:r>
              <w:rPr>
                <w:rFonts w:hint="eastAsia" w:ascii="宋体" w:hAnsi="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799590"/>
                      <wp:effectExtent l="0" t="0" r="4445" b="1016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25"/>
                              <a:stretch/>
                            </pic:blipFill>
                            <pic:spPr bwMode="auto">
                              <a:xfrm>
                                <a:off x="0" y="0"/>
                                <a:ext cx="1005205" cy="179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9.1pt;height:141.7pt;mso-wrap-distance-left:0.0pt;mso-wrap-distance-top:0.0pt;mso-wrap-distance-right:0.0pt;mso-wrap-distance-bottom:0.0pt;" stroked="f">
                      <v:path textboxrect="0,0,0,0"/>
                      <v:imagedata r:id="rId2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2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56座生物实验室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钢木</w:t>
            </w:r>
            <w:r>
              <w:rPr>
                <w:rFonts w:hint="eastAsia" w:ascii="宋体" w:hAnsi="宋体" w:eastAsia="宋体" w:cs="宋体"/>
                <w:i w:val="0"/>
                <w:iCs w:val="0"/>
                <w:color w:val="auto"/>
                <w:sz w:val="20"/>
                <w:szCs w:val="20"/>
                <w:u w:val="none"/>
                <w:lang w:val="en-US" w:eastAsia="zh-CN" w:bidi="ar"/>
              </w:rPr>
              <w:t xml:space="preserve">教师桌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sz w:val="20"/>
                <w:szCs w:val="18"/>
              </w:rPr>
            </w:pPr>
            <w:r>
              <w:rPr>
                <w:rFonts w:hint="eastAsia" w:ascii="宋体" w:hAnsi="宋体" w:eastAsia="宋体" w:cs="宋体"/>
                <w:sz w:val="20"/>
                <w:szCs w:val="18"/>
              </w:rPr>
              <w:t xml:space="preserve">1.规格：2400×700×850mm±10mm；</w:t>
            </w:r>
            <w:r/>
          </w:p>
          <w:p>
            <w:pPr>
              <w:rPr>
                <w:rFonts w:hint="eastAsia" w:ascii="宋体" w:hAnsi="宋体" w:eastAsia="宋体" w:cs="宋体"/>
                <w:sz w:val="20"/>
                <w:szCs w:val="18"/>
                <w:lang w:eastAsia="zh-CN"/>
              </w:rPr>
            </w:pPr>
            <w:r>
              <w:rPr>
                <w:rFonts w:hint="eastAsia" w:ascii="宋体" w:hAnsi="宋体" w:eastAsia="宋体" w:cs="宋体"/>
                <w:sz w:val="20"/>
                <w:szCs w:val="18"/>
              </w:rPr>
              <w:t xml:space="preserve">2.台面：采用≥12.7mm厚双面膜实芯理化板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rPr>
                <w:rFonts w:hint="eastAsia" w:ascii="宋体" w:hAnsi="宋体" w:eastAsia="宋体" w:cs="宋体"/>
                <w:sz w:val="20"/>
                <w:szCs w:val="18"/>
              </w:rPr>
            </w:pPr>
            <w:r>
              <w:rPr>
                <w:rFonts w:hint="eastAsia" w:ascii="宋体" w:hAnsi="宋体" w:eastAsia="宋体" w:cs="宋体"/>
                <w:sz w:val="20"/>
                <w:szCs w:val="18"/>
              </w:rPr>
              <w:t xml:space="preserve">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r/>
          </w:p>
          <w:p>
            <w:pPr>
              <w:rPr>
                <w:rFonts w:hint="eastAsia" w:ascii="宋体" w:hAnsi="宋体" w:eastAsia="宋体" w:cs="宋体"/>
                <w:sz w:val="20"/>
                <w:szCs w:val="18"/>
              </w:rPr>
            </w:pPr>
            <w:r>
              <w:rPr>
                <w:rFonts w:hint="eastAsia" w:ascii="宋体" w:hAnsi="宋体" w:eastAsia="宋体" w:cs="宋体"/>
                <w:sz w:val="20"/>
                <w:szCs w:val="18"/>
              </w:rPr>
              <w:t xml:space="preserve">4.门铰：采用阻尼铰链。自闭式，与柜体面水平角度&lt;15度时，柜门即可自行关闭，使用过程中无噪音，可开关十万次。</w:t>
            </w:r>
            <w:r/>
          </w:p>
          <w:p>
            <w:pPr>
              <w:rPr>
                <w:rFonts w:hint="eastAsia" w:ascii="宋体" w:hAnsi="宋体" w:eastAsia="宋体" w:cs="宋体"/>
                <w:sz w:val="20"/>
                <w:szCs w:val="18"/>
              </w:rPr>
            </w:pPr>
            <w:r>
              <w:rPr>
                <w:rFonts w:hint="eastAsia" w:ascii="宋体" w:hAnsi="宋体" w:eastAsia="宋体" w:cs="宋体"/>
                <w:sz w:val="20"/>
                <w:szCs w:val="18"/>
              </w:rPr>
              <w:t xml:space="preserve">5.滑轨：采用阻尼三节滑轨。</w:t>
            </w:r>
            <w:r/>
          </w:p>
          <w:p>
            <w:pPr>
              <w:rPr>
                <w:rFonts w:hint="eastAsia" w:ascii="宋体" w:hAnsi="宋体" w:eastAsia="宋体" w:cs="宋体"/>
                <w:sz w:val="20"/>
                <w:szCs w:val="18"/>
              </w:rPr>
            </w:pPr>
            <w:r>
              <w:rPr>
                <w:rFonts w:hint="eastAsia" w:ascii="宋体" w:hAnsi="宋体" w:eastAsia="宋体" w:cs="宋体"/>
                <w:sz w:val="20"/>
                <w:szCs w:val="18"/>
              </w:rPr>
              <w:t xml:space="preserve">6.手抽:一字型，表面有光滑防腐涂层。</w:t>
            </w:r>
            <w:r/>
          </w:p>
          <w:p>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 xml:space="preserve">7.固定脚：采用ABS工程塑料模具成型制作而成，具有高度可调、耐磨、防潮、耐腐蚀等特点。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1395" cy="838200"/>
                      <wp:effectExtent l="0" t="0" r="8255" b="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r/>
                            </pic:nvPicPr>
                            <pic:blipFill>
                              <a:blip r:embed="rId26"/>
                              <a:stretch/>
                            </pic:blipFill>
                            <pic:spPr bwMode="auto">
                              <a:xfrm>
                                <a:off x="0" y="0"/>
                                <a:ext cx="100139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8.8pt;height:66.0pt;mso-wrap-distance-left:0.0pt;mso-wrap-distance-top:0.0pt;mso-wrap-distance-right:0.0pt;mso-wrap-distance-bottom:0.0pt;" stroked="f">
                      <v:path textboxrect="0,0,0,0"/>
                      <v:imagedata r:id="rId26"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实验桌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contextualSpacing/>
              <w:spacing w:after="0" w:line="240" w:lineRule="auto"/>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w:t>
            </w:r>
            <w:r>
              <w:rPr>
                <w:rFonts w:hint="eastAsia" w:ascii="宋体" w:hAnsi="宋体" w:eastAsia="宋体" w:cs="宋体"/>
                <w:color w:val="auto"/>
                <w:sz w:val="20"/>
                <w:szCs w:val="20"/>
                <w:lang w:val="en-US" w:eastAsia="zh-CN"/>
              </w:rPr>
              <w:t xml:space="preserve">规格：1200*600*780mm±10mm</w:t>
            </w:r>
            <w:r>
              <w:rPr>
                <w:rFonts w:hint="eastAsia" w:ascii="宋体" w:hAnsi="宋体" w:cs="宋体"/>
                <w:color w:val="auto"/>
                <w:sz w:val="20"/>
                <w:szCs w:val="20"/>
                <w:lang w:val="en-US" w:eastAsia="zh-CN"/>
              </w:rPr>
              <w:t xml:space="preserve">；</w:t>
            </w:r>
            <w:r/>
          </w:p>
          <w:p>
            <w:pPr>
              <w:rPr>
                <w:rFonts w:hint="eastAsia" w:ascii="宋体" w:hAnsi="宋体" w:eastAsia="宋体" w:cs="宋体"/>
                <w:sz w:val="20"/>
                <w:szCs w:val="18"/>
                <w:lang w:eastAsia="zh-CN"/>
              </w:rPr>
            </w:pPr>
            <w:r>
              <w:rPr>
                <w:rFonts w:hint="eastAsia" w:ascii="宋体" w:hAnsi="宋体" w:cs="宋体"/>
                <w:color w:val="auto"/>
                <w:sz w:val="20"/>
                <w:szCs w:val="20"/>
                <w:lang w:val="en-US" w:eastAsia="zh-CN"/>
              </w:rPr>
              <w:t xml:space="preserve">2.</w:t>
            </w:r>
            <w:r>
              <w:rPr>
                <w:rFonts w:hint="eastAsia" w:ascii="宋体" w:hAnsi="宋体" w:eastAsia="宋体" w:cs="宋体"/>
                <w:sz w:val="20"/>
                <w:szCs w:val="18"/>
              </w:rPr>
              <w:t xml:space="preserve">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color w:val="auto"/>
                <w:sz w:val="20"/>
                <w:szCs w:val="20"/>
                <w:lang w:val="en-US"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numPr>
                <w:ilvl w:val="0"/>
                <w:numId w:val="0"/>
              </w:numPr>
              <w:contextualSpacing/>
              <w:spacing w:after="0"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结构：新型塑铝结构,学生位镂空式，主框架字型结构：桌身：由桌腿、立柱、前横梁、中横梁、后横梁组成</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br/>
            </w:r>
            <w:r>
              <w:rPr>
                <w:rFonts w:hint="eastAsia" w:ascii="宋体" w:hAnsi="宋体" w:eastAsia="宋体" w:cs="宋体"/>
                <w:color w:val="auto"/>
                <w:sz w:val="20"/>
                <w:szCs w:val="20"/>
                <w:lang w:val="en-US" w:eastAsia="zh-CN"/>
              </w:rPr>
              <w:t xml:space="preserve">4</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主框架字型结构材质：采用工字型压铸铝一次成型，采用铝镁合金材料，</w:t>
            </w:r>
            <w:r>
              <w:rPr>
                <w:rFonts w:hint="eastAsia" w:ascii="宋体" w:hAnsi="宋体" w:cs="宋体"/>
                <w:color w:val="auto"/>
                <w:sz w:val="20"/>
                <w:szCs w:val="20"/>
                <w:lang w:val="en-US" w:eastAsia="zh-CN"/>
              </w:rPr>
              <w:t xml:space="preserve">桌腿</w:t>
            </w:r>
            <w:r>
              <w:rPr>
                <w:rFonts w:hint="eastAsia" w:ascii="宋体" w:hAnsi="宋体" w:eastAsia="宋体" w:cs="宋体"/>
                <w:color w:val="auto"/>
                <w:sz w:val="20"/>
                <w:szCs w:val="20"/>
                <w:lang w:val="en-US" w:eastAsia="zh-CN"/>
              </w:rPr>
              <w:t xml:space="preserve">壁厚≥3mm，材料表面经高压静电喷涂环氧树脂防护层，耐酸碱，耐腐蚀处理。</w:t>
            </w:r>
            <w:r/>
          </w:p>
          <w:p>
            <w:pPr>
              <w:numPr>
                <w:ilvl w:val="0"/>
                <w:numId w:val="0"/>
              </w:numPr>
              <w:contextualSpacing/>
              <w:spacing w:after="0" w:line="240" w:lineRule="auto"/>
              <w:rPr>
                <w:rStyle w:val="1080"/>
                <w:rFonts w:hint="eastAsia" w:ascii="宋体" w:hAnsi="宋体" w:eastAsia="宋体" w:cs="宋体"/>
                <w:b w:val="0"/>
                <w:bCs w:val="0"/>
                <w:color w:val="auto"/>
                <w:lang w:val="en-US" w:eastAsia="zh-CN" w:bidi="ar"/>
              </w:rPr>
            </w:pPr>
            <w:r>
              <w:rPr>
                <w:rFonts w:hint="eastAsia" w:ascii="宋体" w:hAnsi="宋体" w:eastAsia="宋体" w:cs="宋体"/>
                <w:color w:val="auto"/>
                <w:sz w:val="20"/>
                <w:szCs w:val="20"/>
                <w:lang w:val="en-US" w:eastAsia="zh-CN"/>
              </w:rPr>
              <w:t xml:space="preserve">5</w:t>
            </w:r>
            <w:r>
              <w:rPr>
                <w:rFonts w:hint="eastAsia" w:ascii="宋体" w:hAnsi="宋体" w:cs="宋体"/>
                <w:color w:val="auto"/>
                <w:sz w:val="20"/>
                <w:szCs w:val="20"/>
                <w:lang w:val="en-US" w:eastAsia="zh-CN"/>
              </w:rPr>
              <w:t xml:space="preserve">.</w:t>
            </w:r>
            <w:r>
              <w:rPr>
                <w:rFonts w:hint="eastAsia" w:ascii="宋体" w:hAnsi="宋体" w:eastAsia="宋体" w:cs="宋体"/>
                <w:color w:val="auto"/>
                <w:sz w:val="20"/>
                <w:szCs w:val="20"/>
                <w:lang w:val="en-US" w:eastAsia="zh-CN"/>
              </w:rPr>
              <w:t xml:space="preserve">书包斗：采用PP材料，需配套实验桌，模具一次性注塑成型,上面设计有可悬挂凳子的圆形孔</w:t>
            </w:r>
            <w:r>
              <w:rPr>
                <w:rFonts w:hint="eastAsia" w:ascii="宋体" w:hAnsi="宋体" w:cs="宋体"/>
                <w:color w:val="auto"/>
                <w:sz w:val="20"/>
                <w:szCs w:val="20"/>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45360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719455"/>
                      <wp:effectExtent l="0" t="0" r="5080" b="444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r/>
                            </pic:nvPicPr>
                            <pic:blipFill>
                              <a:blip r:embed="rId19"/>
                              <a:stretch/>
                            </pic:blipFill>
                            <pic:spPr bwMode="auto">
                              <a:xfrm>
                                <a:off x="0" y="0"/>
                                <a:ext cx="1004570"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9.1pt;height:56.6pt;mso-wrap-distance-left:0.0pt;mso-wrap-distance-top:0.0pt;mso-wrap-distance-right:0.0pt;mso-wrap-distance-bottom:0.0pt;" stroked="f">
                      <v:path textboxrect="0,0,0,0"/>
                      <v:imagedata r:id="rId1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规格335mm*195mm*765mm±10mm，选用全钢结构，主体材质为≥1.0mm镀锌钢板，板材均采用≥1.0mm 的镀锌钢板，自动喷涂线喷涂环氧树脂粉末静电吸附等几道工艺制作而成，具备较强抗氧化和防腐蚀、耐酸碱功能，喷涂异化颜色，主体颜色与学生桌桌体颜色一致，让产品形象更加立体、突出，电缆线、通风管等管线均布置于箱体内部，避免管线外露，确保使用的安全。留有检修口，方便检修。</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7980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16305" cy="874395"/>
                      <wp:effectExtent l="0" t="0" r="17145" b="190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r/>
                            </pic:nvPicPr>
                            <pic:blipFill>
                              <a:blip r:embed="rId27"/>
                              <a:stretch/>
                            </pic:blipFill>
                            <pic:spPr bwMode="auto">
                              <a:xfrm>
                                <a:off x="0" y="0"/>
                                <a:ext cx="916305" cy="874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1pt;height:68.8pt;mso-wrap-distance-left:0.0pt;mso-wrap-distance-top:0.0pt;mso-wrap-distance-right:0.0pt;mso-wrap-distance-bottom:0.0pt;" stroked="f">
                      <v:path textboxrect="0,0,0,0"/>
                      <v:imagedata r:id="rId2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规格：490*585*750mm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柜体框架采用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1.0mm镀锌钢板，板材均采用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 的镀锌钢板，经酸洗磷化及环氧树脂户外粉喷涂处理，具备较强抗氧化和防腐蚀、耐酸碱承重性。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水柜门面板：采用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1.0mm冷轧钢，表面经过时效处理和纯环氧树脂塑粉高温固化处理，具有较强的耐蚀性及承重性。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水槽：采用PP改性材料，塑料注塑模一次性成型，其规格600*500*350mm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，耐强酸强碱耐＜80℃有机溶剂并耐150℃以下高温，外型简约美观。</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下水系统：采用PP材质专用连接管，配有防虹吸，防阻塞装置，水槽后方内置防溢水装置，防止废水外溢出台面，排水口内置一个防堵下水锥形网孔漏斗。</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893570"/>
                      <wp:effectExtent l="0" t="0" r="4445" b="1143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r/>
                            </pic:nvPicPr>
                            <pic:blipFill>
                              <a:blip r:embed="rId28"/>
                              <a:stretch/>
                            </pic:blipFill>
                            <pic:spPr bwMode="auto">
                              <a:xfrm>
                                <a:off x="0" y="0"/>
                                <a:ext cx="1005205" cy="189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9.1pt;height:149.1pt;mso-wrap-distance-left:0.0pt;mso-wrap-distance-top:0.0pt;mso-wrap-distance-right:0.0pt;mso-wrap-distance-bottom:0.0pt;" stroked="f">
                      <v:path textboxrect="0,0,0,0"/>
                      <v:imagedata r:id="rId28"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教师台水槽</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pp规格550*450</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采用PP改性材料，塑料注塑模一次性成型，耐强酸强碱耐＜80℃有机溶剂并耐150℃以下高温，外型简约美观。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753745"/>
                      <wp:effectExtent l="0" t="0" r="4445" b="825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r/>
                            </pic:nvPicPr>
                            <pic:blipFill>
                              <a:blip r:embed="rId29"/>
                              <a:stretch/>
                            </pic:blipFill>
                            <pic:spPr bwMode="auto">
                              <a:xfrm>
                                <a:off x="0" y="0"/>
                                <a:ext cx="1005205" cy="753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9.1pt;height:59.3pt;mso-wrap-distance-left:0.0pt;mso-wrap-distance-top:0.0pt;mso-wrap-distance-right:0.0pt;mso-wrap-distance-bottom:0.0pt;" stroked="f">
                      <v:path textboxrect="0,0,0,0"/>
                      <v:imagedata r:id="rId2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用于连接地面水管及水龙头，上水管两端接头采用201不锈钢螺帽铜芯，外管是304钢丝+尼龙丝混编</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规格:直径35mm*长度500mm水槽专配型排水管，不锈钢卡扣连接，安装方便不渗漏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主体：加厚铜质</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涂层：高亮度环氧树脂涂层，耐腐蚀、耐热，防紫外线辐射</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陶瓷阀芯90°旋转，使用寿命开关50万次，静态最大耐压20巴</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经久耐用，不会出现渗水、断裂现象</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鹅颈管可360°旋转</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769620"/>
                      <wp:effectExtent l="0" t="0" r="3810" b="1143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r/>
                            </pic:nvPicPr>
                            <pic:blipFill>
                              <a:blip r:embed="rId30"/>
                              <a:stretch/>
                            </pic:blipFill>
                            <pic:spPr bwMode="auto">
                              <a:xfrm>
                                <a:off x="0" y="0"/>
                                <a:ext cx="1005840" cy="769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9.2pt;height:60.6pt;mso-wrap-distance-left:0.0pt;mso-wrap-distance-top:0.0pt;mso-wrap-distance-right:0.0pt;mso-wrap-distance-bottom:0.0pt;" stroked="f">
                      <v:path textboxrect="0,0,0,0"/>
                      <v:imagedata r:id="rId3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电源装有220V，额定电流不小于6A的交流--3+2 通用插座，有保险丝，电源开关和指示灯，插座配有防尘盖，符合国家安全认证。</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568325"/>
                      <wp:effectExtent l="0" t="0" r="3810" b="317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r/>
                            </pic:nvPicPr>
                            <pic:blipFill>
                              <a:blip r:embed="rId31"/>
                              <a:stretch/>
                            </pic:blipFill>
                            <pic:spPr bwMode="auto">
                              <a:xfrm>
                                <a:off x="0" y="0"/>
                                <a:ext cx="1005840" cy="56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9.2pt;height:44.8pt;mso-wrap-distance-left:0.0pt;mso-wrap-distance-top:0.0pt;mso-wrap-distance-right:0.0pt;mso-wrap-distance-bottom:0.0pt;" stroked="f">
                      <v:path textboxrect="0,0,0,0"/>
                      <v:imagedata r:id="rId3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控制学生220V分四组输出，由电压表检测电压电流。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教师演示台设有安全宗电源，漏电过载保护功能。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交流220V多功能输出。</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551180"/>
                      <wp:effectExtent l="0" t="0" r="5080" b="1270"/>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r/>
                            </pic:nvPicPr>
                            <pic:blipFill>
                              <a:blip r:embed="rId32"/>
                              <a:stretch/>
                            </pic:blipFill>
                            <pic:spPr bwMode="auto">
                              <a:xfrm>
                                <a:off x="0" y="0"/>
                                <a:ext cx="1004570" cy="55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9.1pt;height:43.4pt;mso-wrap-distance-left:0.0pt;mso-wrap-distance-top:0.0pt;mso-wrap-distance-right:0.0pt;mso-wrap-distance-bottom:0.0pt;" stroked="f">
                      <v:path textboxrect="0,0,0,0"/>
                      <v:imagedata r:id="rId3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规格:315*420-</w:t>
            </w:r>
            <w:r>
              <w:rPr>
                <w:rFonts w:hint="eastAsia" w:ascii="宋体" w:hAnsi="宋体" w:cs="宋体"/>
                <w:i w:val="0"/>
                <w:iCs w:val="0"/>
                <w:color w:val="000000"/>
                <w:sz w:val="20"/>
                <w:szCs w:val="20"/>
                <w:u w:val="none"/>
                <w:lang w:val="en-US" w:eastAsia="zh-CN" w:bidi="ar"/>
              </w:rPr>
              <w:t xml:space="preserve">480mm±10mm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凳脚材质:4个凳脚采用20*40*</w:t>
            </w:r>
            <w:r>
              <w:rPr>
                <w:rFonts w:hint="eastAsia" w:ascii="宋体" w:hAnsi="宋体" w:cs="宋体"/>
                <w:i w:val="0"/>
                <w:iCs w:val="0"/>
                <w:color w:val="000000"/>
                <w:sz w:val="20"/>
                <w:szCs w:val="20"/>
                <w:u w:val="none"/>
                <w:lang w:val="en-US" w:eastAsia="zh-CN" w:bidi="ar"/>
              </w:rPr>
              <w:t xml:space="preserve">1.1mm</w:t>
            </w:r>
            <w:r>
              <w:rPr>
                <w:rFonts w:hint="eastAsia" w:ascii="宋体" w:hAnsi="宋体" w:eastAsia="宋体" w:cs="宋体"/>
                <w:i w:val="0"/>
                <w:iCs w:val="0"/>
                <w:color w:val="000000"/>
                <w:sz w:val="20"/>
                <w:szCs w:val="20"/>
                <w:u w:val="none"/>
                <w:lang w:val="en-US" w:eastAsia="zh-CN" w:bidi="ar"/>
              </w:rPr>
              <w:t xml:space="preserve">椭圆形无缝钢管模具一次成型,全圆满焊完成,结构牢固,经高温粉体烤漆处理,长时间使用也不会产生表面烤漆剥落现象；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凳面:凳面直径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采用环保型PP改性塑料一次性注塑成型;凳面表面有颗粒状凸起起到按摩作用；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托盘:凳面下装有直径大于</w:t>
            </w:r>
            <w:r>
              <w:rPr>
                <w:rFonts w:hint="eastAsia" w:ascii="宋体" w:hAnsi="宋体" w:cs="宋体"/>
                <w:i w:val="0"/>
                <w:iCs w:val="0"/>
                <w:color w:val="000000"/>
                <w:sz w:val="20"/>
                <w:szCs w:val="20"/>
                <w:u w:val="none"/>
                <w:lang w:val="en-US" w:eastAsia="zh-CN" w:bidi="ar"/>
              </w:rPr>
              <w:t xml:space="preserve">156mm</w:t>
            </w:r>
            <w:r>
              <w:rPr>
                <w:rFonts w:hint="eastAsia" w:ascii="宋体" w:hAnsi="宋体" w:eastAsia="宋体" w:cs="宋体"/>
                <w:i w:val="0"/>
                <w:iCs w:val="0"/>
                <w:color w:val="000000"/>
                <w:sz w:val="20"/>
                <w:szCs w:val="20"/>
                <w:u w:val="none"/>
                <w:lang w:val="en-US" w:eastAsia="zh-CN" w:bidi="ar"/>
              </w:rPr>
              <w:t xml:space="preserve">的托盘,厚度不小于</w:t>
            </w:r>
            <w:r>
              <w:rPr>
                <w:rFonts w:hint="eastAsia" w:ascii="宋体" w:hAnsi="宋体" w:cs="宋体"/>
                <w:i w:val="0"/>
                <w:iCs w:val="0"/>
                <w:color w:val="000000"/>
                <w:sz w:val="20"/>
                <w:szCs w:val="20"/>
                <w:u w:val="none"/>
                <w:lang w:val="en-US" w:eastAsia="zh-CN" w:bidi="ar"/>
              </w:rPr>
              <w:t xml:space="preserve">1.4mm</w:t>
            </w:r>
            <w:r>
              <w:rPr>
                <w:rFonts w:hint="eastAsia" w:ascii="宋体" w:hAnsi="宋体" w:eastAsia="宋体" w:cs="宋体"/>
                <w:i w:val="0"/>
                <w:iCs w:val="0"/>
                <w:color w:val="000000"/>
                <w:sz w:val="20"/>
                <w:szCs w:val="20"/>
                <w:u w:val="none"/>
                <w:lang w:val="en-US" w:eastAsia="zh-CN" w:bidi="ar"/>
              </w:rPr>
              <w:t xml:space="preserve">；</w:t>
            </w:r>
            <w:r/>
          </w:p>
          <w:p>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107440"/>
                      <wp:effectExtent l="0" t="0" r="5080" b="1651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r/>
                            </pic:nvPicPr>
                            <pic:blipFill>
                              <a:blip r:embed="rId33"/>
                              <a:stretch/>
                            </pic:blipFill>
                            <pic:spPr bwMode="auto">
                              <a:xfrm>
                                <a:off x="0" y="0"/>
                                <a:ext cx="1004570" cy="110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9.1pt;height:87.2pt;mso-wrap-distance-left:0.0pt;mso-wrap-distance-top:0.0pt;mso-wrap-distance-right:0.0pt;mso-wrap-distance-bottom:0.0pt;" stroked="f">
                      <v:path textboxrect="0,0,0,0"/>
                      <v:imagedata r:id="rId3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2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钢木</w:t>
            </w: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全钢结构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一体化台面，每边4个抽屉、</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组对开门，基本要求如下：</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台面尺寸（度宽高）3000mm×1100mm×800mm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w:t>
            </w:r>
            <w:r/>
          </w:p>
          <w:p>
            <w:pPr>
              <w:rPr>
                <w:rFonts w:hint="eastAsia" w:ascii="宋体" w:hAnsi="宋体" w:eastAsia="宋体" w:cs="宋体"/>
                <w:sz w:val="20"/>
                <w:szCs w:val="18"/>
                <w:lang w:eastAsia="zh-CN"/>
              </w:rPr>
            </w:pPr>
            <w:r>
              <w:rPr>
                <w:rFonts w:hint="eastAsia" w:ascii="宋体" w:hAnsi="宋体" w:cs="宋体"/>
                <w:i w:val="0"/>
                <w:iCs w:val="0"/>
                <w:color w:val="000000"/>
                <w:sz w:val="20"/>
                <w:szCs w:val="20"/>
                <w:lang w:val="en-US" w:eastAsia="zh-CN" w:bidi="ar"/>
              </w:rPr>
              <w:t xml:space="preserve">2.</w:t>
            </w:r>
            <w:r>
              <w:rPr>
                <w:rFonts w:hint="eastAsia" w:ascii="宋体" w:hAnsi="宋体" w:eastAsia="宋体" w:cs="宋体"/>
                <w:sz w:val="20"/>
                <w:szCs w:val="18"/>
              </w:rPr>
              <w:t xml:space="preserve">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台身：采用≥1.0mm厚镀锌钢板，钢板表面经环氧树脂静电粉末喷涂。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桌脚：采用直径不小于10mm的螺杆与ABS工程塑料一次注塑成型的脚垫，高度可调节。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5</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柜门铰链：采用不锈钢定位铰链，铰链的壁厚不小于1.5mm。</w:t>
            </w:r>
            <w:r/>
          </w:p>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 xml:space="preserve">6</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抽屉滑道：采用消声三节滑轨，壁厚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1.5mm合金钢板一次性成型加工，表面经环氧树脂静电喷涂。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15850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117600"/>
                      <wp:effectExtent l="0" t="0" r="4445" b="6350"/>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pic:cNvPicPr>
                                <a:picLocks noChangeAspect="1"/>
                              </pic:cNvPicPr>
                              <pic:nvPr/>
                            </pic:nvPicPr>
                            <pic:blipFill>
                              <a:blip r:embed="rId34"/>
                              <a:stretch/>
                            </pic:blipFill>
                            <pic:spPr bwMode="auto">
                              <a:xfrm>
                                <a:off x="0" y="0"/>
                                <a:ext cx="1005205" cy="111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9.1pt;height:88.0pt;mso-wrap-distance-left:0.0pt;mso-wrap-distance-top:0.0pt;mso-wrap-distance-right:0.0pt;mso-wrap-distance-bottom:0.0pt;" stroked="f">
                      <v:path textboxrect="0,0,0,0"/>
                      <v:imagedata r:id="rId3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准备桌水槽</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pp规格550*450</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采用PP改性材料，塑料注塑模一次性成型，耐强酸强碱耐＜80℃有机溶剂并耐150℃以下高温，外型简约美观。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772795"/>
                      <wp:effectExtent l="0" t="0" r="4445" b="8255"/>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pic:cNvPicPr>
                                <a:picLocks noChangeAspect="1"/>
                              </pic:cNvPicPr>
                              <pic:nvPr/>
                            </pic:nvPicPr>
                            <pic:blipFill>
                              <a:blip r:embed="rId35"/>
                              <a:stretch/>
                            </pic:blipFill>
                            <pic:spPr bwMode="auto">
                              <a:xfrm>
                                <a:off x="0" y="0"/>
                                <a:ext cx="100520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9.1pt;height:60.8pt;mso-wrap-distance-left:0.0pt;mso-wrap-distance-top:0.0pt;mso-wrap-distance-right:0.0pt;mso-wrap-distance-bottom:0.0pt;" stroked="f">
                      <v:path textboxrect="0,0,0,0"/>
                      <v:imagedata r:id="rId3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主体：加厚铜质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2.涂层：高亮度环氧树脂涂层，耐腐蚀、耐热，防紫外线辐射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3.陶瓷阀芯90°旋转，使用寿命开关50万次，静态最大耐压20巴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4.经久耐用，不会出现渗水、断裂现象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5.鹅颈管可360°旋转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48055"/>
                      <wp:effectExtent l="0" t="0" r="4445" b="444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r/>
                            </pic:nvPicPr>
                            <pic:blipFill>
                              <a:blip r:embed="rId36"/>
                              <a:stretch/>
                            </pic:blipFill>
                            <pic:spPr bwMode="auto">
                              <a:xfrm>
                                <a:off x="0" y="0"/>
                                <a:ext cx="1005205" cy="94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9.1pt;height:74.6pt;mso-wrap-distance-left:0.0pt;mso-wrap-distance-top:0.0pt;mso-wrap-distance-right:0.0pt;mso-wrap-distance-bottom:0.0pt;" stroked="f">
                      <v:path textboxrect="0,0,0,0"/>
                      <v:imagedata r:id="rId36" o:title=""/>
                    </v:shape>
                  </w:pict>
                </mc:Fallback>
              </mc:AlternateContent>
            </w:r>
            <w:r/>
          </w:p>
        </w:tc>
      </w:tr>
      <w:tr>
        <w:trPr>
          <w:trHeight w:val="4704"/>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整体规格：1000mm（L）×500mm（W）×2000mm（H）</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整体采用环保型ABS塑料一次性注塑成型，层板采用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2.5mm厚双面环保型PP改性塑料，耐强酸碱及有机溶剂，内设加强筋。</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柜体：榫卯连接结构并合理布局加强筋，安装时不用胶水粘结，不用任何金属螺丝。</w:t>
            </w:r>
            <w:r/>
          </w:p>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0"/>
                <w:szCs w:val="20"/>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上部为ABS工程塑料镶装玻璃对开门,带锁、内嵌式塑料扣手，尼龙塑料铰链，高强度耐磨，防水、永不生锈，内设PP改性活动隔板2块。</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下部为ABS工程塑料对开门，带</w:t>
            </w:r>
            <w:r>
              <w:rPr>
                <w:rFonts w:hint="eastAsia" w:ascii="宋体" w:hAnsi="宋体" w:eastAsia="宋体" w:cs="宋体"/>
                <w:i w:val="0"/>
                <w:iCs w:val="0"/>
                <w:color w:val="000000"/>
                <w:sz w:val="20"/>
                <w:szCs w:val="20"/>
                <w:u w:val="none"/>
                <w:lang w:val="en-US" w:eastAsia="zh-CN" w:bidi="ar"/>
              </w:rPr>
              <w:t xml:space="preserve">锁、内嵌式塑料扣手，采用尼龙塑料铰链，内设PP改性塑料活动隔板1块。门板与侧板并安装有防盗插销，防止从外部撬开柜门。底座高80mm，上下板30mm，重要部位加厚处理，从而使产品更牢固，结实耐用。</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仪器</w:t>
            </w:r>
            <w:r>
              <w:rPr>
                <w:rFonts w:hint="eastAsia" w:ascii="宋体" w:hAnsi="宋体" w:cs="宋体"/>
                <w:i w:val="0"/>
                <w:iCs w:val="0"/>
                <w:color w:val="000000"/>
                <w:sz w:val="20"/>
                <w:szCs w:val="20"/>
                <w:highlight w:val="none"/>
                <w:u w:val="none"/>
                <w:lang w:val="en-US" w:eastAsia="zh-CN" w:bidi="ar"/>
              </w:rPr>
              <w:t xml:space="preserve">塑料件</w:t>
            </w:r>
            <w:r>
              <w:rPr>
                <w:rFonts w:hint="eastAsia" w:ascii="宋体" w:hAnsi="宋体" w:eastAsia="宋体" w:cs="宋体"/>
                <w:i w:val="0"/>
                <w:iCs w:val="0"/>
                <w:color w:val="000000"/>
                <w:sz w:val="20"/>
                <w:szCs w:val="20"/>
                <w:highlight w:val="none"/>
                <w:u w:val="none"/>
                <w:lang w:val="en-US" w:eastAsia="zh-CN" w:bidi="ar"/>
              </w:rPr>
              <w:t xml:space="preserve">符合：</w:t>
            </w:r>
            <w:r/>
          </w:p>
          <w:p>
            <w:pPr>
              <w:numPr>
                <w:ilvl w:val="0"/>
                <w:numId w:val="0"/>
              </w:numPr>
              <w:jc w:val="left"/>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（1）塑料材料理化性能：冲击强度≥</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0J/㎡</w:t>
            </w:r>
            <w:r>
              <w:rPr>
                <w:rFonts w:hint="eastAsia" w:ascii="宋体" w:hAnsi="宋体" w:cs="宋体"/>
                <w:i w:val="0"/>
                <w:iCs w:val="0"/>
                <w:color w:val="000000"/>
                <w:sz w:val="20"/>
                <w:szCs w:val="20"/>
                <w:highlight w:val="none"/>
                <w:u w:val="none"/>
                <w:lang w:val="en-US" w:eastAsia="zh-CN" w:bidi="ar"/>
              </w:rPr>
              <w:t xml:space="preserve">；</w:t>
            </w:r>
            <w:r/>
          </w:p>
          <w:p>
            <w:pPr>
              <w:rPr>
                <w:rFonts w:hint="default" w:ascii="宋体" w:hAnsi="宋体" w:eastAsia="宋体" w:cs="宋体"/>
                <w:i w:val="0"/>
                <w:iCs w:val="0"/>
                <w:color w:val="000000"/>
                <w:sz w:val="20"/>
                <w:szCs w:val="20"/>
                <w:u w:val="none"/>
                <w:lang w:val="en-US"/>
              </w:rPr>
            </w:pP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塑料件硬度：邵氏D硬度≥HD</w:t>
            </w:r>
            <w:r>
              <w:rPr>
                <w:rFonts w:hint="eastAsia" w:ascii="宋体" w:hAnsi="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81075" cy="1485900"/>
                      <wp:effectExtent l="0" t="0" r="9525" b="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r/>
                            </pic:nvPicPr>
                            <pic:blipFill>
                              <a:blip r:embed="rId37"/>
                              <a:stretch/>
                            </pic:blipFill>
                            <pic:spPr bwMode="auto">
                              <a:xfrm>
                                <a:off x="0" y="0"/>
                                <a:ext cx="981075"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7.2pt;height:117.0pt;mso-wrap-distance-left:0.0pt;mso-wrap-distance-top:0.0pt;mso-wrap-distance-right:0.0pt;mso-wrap-distance-bottom:0.0pt;" stroked="f">
                      <v:path textboxrect="0,0,0,0"/>
                      <v:imagedata r:id="rId3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生物组培实验室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单人净化工作台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1、单人净化工作台，外型尺寸：≥1000×750×1650mm；工作区尺寸：≥890×700×510mm；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2、采用全钢结构，材料厚度≥1.0mm，支柱材料厚度≥1.2mm，冷轧板喷塑工艺，防霉防菌，净重：≥85kg；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w:t>
            </w:r>
            <w:r>
              <w:rPr>
                <w:rFonts w:hint="eastAsia" w:ascii="宋体" w:hAnsi="宋体" w:cs="宋体"/>
                <w:i w:val="0"/>
                <w:iCs w:val="0"/>
                <w:color w:val="auto"/>
                <w:sz w:val="20"/>
                <w:szCs w:val="20"/>
                <w:u w:val="none"/>
                <w:lang w:val="en-US" w:eastAsia="zh-CN" w:bidi="ar"/>
              </w:rPr>
              <w:t xml:space="preserve">配置不小于7英寸的彩色触摸屏控制系统，要求显示清晰、触控灵敏、运行稳定，具备人机交互功能。屏幕表面需具备足够的硬度以确保耐用性和抗划伤。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4、工作区域采用镜面不锈钢斜面结构设计，材质厚度≥1.2mm一体化优质304镜面不锈钢整体塑形，耐腐蚀，易清洁，有效抑制细菌滋生；设置45°连接面，有效提高灭菌效果；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5、四面高透性钢化玻璃窗，保障仪器运行安全，采光与视野效果更佳，同时方便教学实验观摩及交流，也便于指导实验操作；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6、倾斜式操作面，符合人体工程学，操作更舒适；悬挂式升降玻璃门，操作简便方便灵活，底部设置减震装置，升降自如，可任意位置停留；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7、采用可调风量风机系统，平均风速：0.3-0.6m/s，气流流线垂直于台面，无死角和回流。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8、配置玻璃纤维材质高效过滤器，使用寿命长，过滤效率高，过滤器规格尺寸：≥880×520×50mm；具备初效过滤器、高效过滤器、紫外杀菌灯使用时长及更换提醒设置功能；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9、扫描检漏</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DOP法检漏</w:t>
            </w:r>
            <w:r>
              <w:rPr>
                <w:rFonts w:hint="eastAsia" w:ascii="宋体" w:hAnsi="宋体" w:cs="宋体"/>
                <w:i w:val="0"/>
                <w:iCs w:val="0"/>
                <w:color w:val="auto"/>
                <w:sz w:val="20"/>
                <w:szCs w:val="20"/>
                <w:u w:val="none"/>
                <w:lang w:val="en-US" w:eastAsia="zh-CN" w:bidi="ar"/>
              </w:rPr>
              <w:t xml:space="preserve">）：穿透率</w:t>
            </w:r>
            <w:r>
              <w:rPr>
                <w:rFonts w:hint="eastAsia" w:ascii="宋体" w:hAnsi="宋体" w:eastAsia="宋体" w:cs="宋体"/>
                <w:i w:val="0"/>
                <w:iCs w:val="0"/>
                <w:color w:val="auto"/>
                <w:sz w:val="20"/>
                <w:szCs w:val="20"/>
                <w:u w:val="none"/>
                <w:lang w:val="en-US" w:eastAsia="zh-CN" w:bidi="ar"/>
              </w:rPr>
              <w:t xml:space="preserve">≤0.01%；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10、空气洁净度：≤</w:t>
            </w:r>
            <w:r>
              <w:rPr>
                <w:rFonts w:hint="eastAsia" w:ascii="宋体" w:hAnsi="宋体" w:cs="宋体"/>
                <w:i w:val="0"/>
                <w:iCs w:val="0"/>
                <w:color w:val="auto"/>
                <w:sz w:val="20"/>
                <w:szCs w:val="20"/>
                <w:u w:val="none"/>
                <w:lang w:val="en-US" w:eastAsia="zh-CN" w:bidi="ar"/>
              </w:rPr>
              <w:t xml:space="preserve">ISO 6级</w:t>
            </w:r>
            <w:r>
              <w:rPr>
                <w:rFonts w:hint="eastAsia" w:ascii="宋体" w:hAnsi="宋体" w:eastAsia="宋体" w:cs="宋体"/>
                <w:i w:val="0"/>
                <w:iCs w:val="0"/>
                <w:color w:val="auto"/>
                <w:sz w:val="20"/>
                <w:szCs w:val="20"/>
                <w:u w:val="none"/>
                <w:lang w:val="en-US" w:eastAsia="zh-CN" w:bidi="ar"/>
              </w:rPr>
              <w:t xml:space="preserve">；沉降菌浓度</w:t>
            </w:r>
            <w:r>
              <w:rPr>
                <w:rFonts w:hint="eastAsia" w:ascii="宋体" w:hAnsi="宋体" w:cs="宋体"/>
                <w:i w:val="0"/>
                <w:iCs w:val="0"/>
                <w:color w:val="auto"/>
                <w:sz w:val="20"/>
                <w:szCs w:val="20"/>
                <w:u w:val="none"/>
                <w:lang w:val="en-US" w:eastAsia="zh-CN" w:bidi="ar"/>
              </w:rPr>
              <w:t xml:space="preserve">（cfu/</w:t>
            </w:r>
            <w:r>
              <w:rPr>
                <w:rFonts w:hint="eastAsia" w:ascii="宋体" w:hAnsi="宋体" w:eastAsia="宋体" w:cs="宋体"/>
                <w:i w:val="0"/>
                <w:iCs w:val="0"/>
                <w:color w:val="auto"/>
                <w:sz w:val="20"/>
                <w:szCs w:val="20"/>
                <w:u w:val="none"/>
                <w:lang w:val="en-US" w:eastAsia="zh-CN" w:bidi="ar"/>
              </w:rPr>
              <w:t xml:space="preserve">皿×0.5</w:t>
            </w:r>
            <w:r>
              <w:rPr>
                <w:rFonts w:hint="eastAsia" w:ascii="宋体" w:hAnsi="宋体" w:cs="宋体"/>
                <w:i w:val="0"/>
                <w:iCs w:val="0"/>
                <w:color w:val="auto"/>
                <w:sz w:val="20"/>
                <w:szCs w:val="20"/>
                <w:u w:val="none"/>
                <w:lang w:val="en-US" w:eastAsia="zh-CN" w:bidi="ar"/>
              </w:rPr>
              <w:t xml:space="preserve">h）：</w:t>
            </w:r>
            <w:r>
              <w:rPr>
                <w:rFonts w:hint="eastAsia" w:ascii="宋体" w:hAnsi="宋体" w:eastAsia="宋体" w:cs="宋体"/>
                <w:i w:val="0"/>
                <w:iCs w:val="0"/>
                <w:color w:val="auto"/>
                <w:sz w:val="20"/>
                <w:szCs w:val="20"/>
                <w:u w:val="none"/>
                <w:lang w:val="en-US" w:eastAsia="zh-CN" w:bidi="ar"/>
              </w:rPr>
              <w:t xml:space="preserve">≤0.5；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11、照度：≥</w:t>
            </w: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00lx；噪声：≤65dB；振动幅度：≤5μm；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12、内置双重（机械控制、红外感应）紫外线防护装置，紫外灯开启状态下人在工作台正面60cm处移动或打开升降玻璃门，紫外灯将自动关闭，更加保护人员安全；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13、智能控制系统：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13.1、显示开机时间并记录设备持续运行时间，具备智能关机功能，设备打开后自启动防忘功能，面板无任何操作时开始自动计时，累计6小时无操作后进行文字和蜂鸣提醒，累计12小时无操作后自动关机；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13.2、具备无菌操作环境空间温度、湿度、光照强度、CO</w:t>
            </w:r>
            <w:r>
              <w:rPr>
                <w:rStyle w:val="1082"/>
                <w:rFonts w:hint="eastAsia" w:ascii="宋体" w:hAnsi="宋体" w:eastAsia="宋体" w:cs="宋体"/>
                <w:color w:val="auto"/>
                <w:sz w:val="20"/>
                <w:szCs w:val="20"/>
                <w:lang w:val="en-US" w:eastAsia="zh-CN" w:bidi="ar"/>
              </w:rPr>
              <w:t xml:space="preserve">₂</w:t>
            </w:r>
            <w:r>
              <w:rPr>
                <w:rStyle w:val="1096"/>
                <w:rFonts w:hint="eastAsia" w:ascii="宋体" w:hAnsi="宋体" w:eastAsia="宋体" w:cs="宋体"/>
                <w:color w:val="auto"/>
                <w:sz w:val="20"/>
                <w:szCs w:val="20"/>
                <w:lang w:val="en-US" w:eastAsia="zh-CN" w:bidi="ar"/>
              </w:rPr>
              <w:t xml:space="preserve">浓度实时监测功能；</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13.3、定时/计时灭菌功能，紫外灯、风机、照明灯多部件联动设定，智能规划实验准备工序；</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13.4、内置微生物实验、植物组织培养实验、细胞培养实验等模式一键启停，紫外/照明/风机多参数综合联动设定，标配蓝牙远程控制功能；</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14、内置电源插座，电源：220V/50Hz；最大功率：≥400W。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36600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204595"/>
                      <wp:effectExtent l="0" t="0" r="4445" b="14604"/>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r/>
                            </pic:nvPicPr>
                            <pic:blipFill>
                              <a:blip r:embed="rId38"/>
                              <a:stretch/>
                            </pic:blipFill>
                            <pic:spPr bwMode="auto">
                              <a:xfrm>
                                <a:off x="0" y="0"/>
                                <a:ext cx="1005205" cy="1204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9.1pt;height:94.8pt;mso-wrap-distance-left:0.0pt;mso-wrap-distance-top:0.0pt;mso-wrap-distance-right:0.0pt;mso-wrap-distance-bottom:0.0pt;" stroked="f">
                      <v:path textboxrect="0,0,0,0"/>
                      <v:imagedata r:id="rId38"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接种器具灭菌器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接种器具灭菌器：</w:t>
            </w:r>
            <w:r>
              <w:rPr>
                <w:rFonts w:hint="eastAsia" w:ascii="宋体" w:hAnsi="宋体" w:eastAsia="宋体" w:cs="宋体"/>
                <w:i w:val="0"/>
                <w:iCs w:val="0"/>
                <w:color w:val="000000"/>
                <w:sz w:val="20"/>
                <w:szCs w:val="20"/>
                <w:u w:val="none"/>
                <w:lang w:val="en-US" w:eastAsia="zh-CN" w:bidi="ar"/>
              </w:rPr>
              <w:br/>
            </w:r>
            <w:r>
              <w:rPr>
                <w:rStyle w:val="1096"/>
                <w:rFonts w:hint="eastAsia" w:ascii="宋体" w:hAnsi="宋体" w:eastAsia="宋体" w:cs="宋体"/>
                <w:color w:val="auto"/>
                <w:sz w:val="20"/>
                <w:szCs w:val="20"/>
                <w:lang w:val="en-US" w:eastAsia="zh-CN" w:bidi="ar"/>
              </w:rPr>
              <w:t xml:space="preserve">1、采用干式传热原理进行高温消毒，比传统加热形式具有安全、寿命长、省电、升温快等特点；</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2、采用自动温控技术和高温材料，消毒芯内的温度0-320℃无级调节，消毒芯内设置温控器探头，全程控制消毒芯内温度，适合育苗、接种等无菌操作；</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3、氩弧焊技术，外壳纯不锈钢材质，结实耐用；</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4、耐高温陶瓷消毒槽，耐高温石英玻璃珠，保证对器械消毒均匀彻底；</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5、温度：0-320℃无级可调；杀菌温度：285℃-320℃；</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6、电源：AC220V/50Hz；额定功率≥80W；</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7、立式（保护类型I型），配保险丝≥2个；</w:t>
            </w:r>
            <w:r>
              <w:rPr>
                <w:rStyle w:val="1096"/>
                <w:rFonts w:hint="eastAsia" w:ascii="宋体" w:hAnsi="宋体" w:eastAsia="宋体" w:cs="宋体"/>
                <w:color w:val="auto"/>
                <w:sz w:val="20"/>
                <w:szCs w:val="20"/>
                <w:lang w:val="en-US" w:eastAsia="zh-CN" w:bidi="ar"/>
              </w:rPr>
              <w:br/>
            </w:r>
            <w:r>
              <w:rPr>
                <w:rStyle w:val="1096"/>
                <w:rFonts w:hint="eastAsia" w:ascii="宋体" w:hAnsi="宋体" w:eastAsia="宋体" w:cs="宋体"/>
                <w:color w:val="auto"/>
                <w:sz w:val="20"/>
                <w:szCs w:val="20"/>
                <w:lang w:val="en-US" w:eastAsia="zh-CN" w:bidi="ar"/>
              </w:rPr>
              <w:t xml:space="preserve">8、外观尺寸：深×宽×高≥160×100×190mm；净重：≥1.85kg。</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5033.60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991870"/>
                      <wp:effectExtent l="0" t="0" r="5080" b="17780"/>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r/>
                            </pic:nvPicPr>
                            <pic:blipFill>
                              <a:blip r:embed="rId39"/>
                              <a:stretch/>
                            </pic:blipFill>
                            <pic:spPr bwMode="auto">
                              <a:xfrm>
                                <a:off x="0" y="0"/>
                                <a:ext cx="1004570" cy="991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9.1pt;height:78.1pt;mso-wrap-distance-left:0.0pt;mso-wrap-distance-top:0.0pt;mso-wrap-distance-right:0.0pt;mso-wrap-distance-bottom:0.0pt;" stroked="f">
                      <v:path textboxrect="0,0,0,0"/>
                      <v:imagedata r:id="rId39" o:title=""/>
                    </v:shape>
                  </w:pict>
                </mc:Fallback>
              </mc:AlternateContent>
            </w:r>
            <w:r/>
          </w:p>
        </w:tc>
      </w:tr>
      <w:tr>
        <w:trPr>
          <w:trHeight w:val="178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立式高压蒸汽灭菌器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立式高压蒸汽灭菌器：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1、手轮式开门结构；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2、机械式安全连锁装置；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3、电脑控制自动循环灭菌程序；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4、数码窗液晶显示工作状态；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5、温度任意设定（50℃-134℃）；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6、时间任意设定（0-9999分钟）；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7、超压自泄：0.22Mpa；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8、灭菌终了蜂鸣提醒后自动停机；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9、全不锈钢材料；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10、容积：≥50L；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11、电源：220V；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12、功率：≥3.5KW；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13、灭菌室尺寸：≥φ340×525mm；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14、包装尺寸：≥570×570×1300mm；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15、净重：≥58Kg；</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18636.80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129665"/>
                      <wp:effectExtent l="0" t="0" r="4445" b="13335"/>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r/>
                            </pic:nvPicPr>
                            <pic:blipFill>
                              <a:blip r:embed="rId40"/>
                              <a:stretch/>
                            </pic:blipFill>
                            <pic:spPr bwMode="auto">
                              <a:xfrm>
                                <a:off x="0" y="0"/>
                                <a:ext cx="1005205" cy="1129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9.1pt;height:88.9pt;mso-wrap-distance-left:0.0pt;mso-wrap-distance-top:0.0pt;mso-wrap-distance-right:0.0pt;mso-wrap-distance-bottom:0.0pt;" stroked="f">
                      <v:path textboxrect="0,0,0,0"/>
                      <v:imagedata r:id="rId4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电热鼓风干燥箱：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1、适用于干燥、烘焙、熔蜡、灭菌、固化使用；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2、外壳采用静电喷涂工艺，漆膜牢固美观；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3、箱门设有观察窗，可随时观察工作室内物品的加热情况；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4、数字显示，可选用多种控温仪表，控温精度高，稳定性能好；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5、采用背面加热鼓风发方式，加热和鼓风系统独立开关设置，鼓风风速无极可调；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6、控温范围：Rt+10～250℃；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7、温度波动：≤±1℃；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8、定时范围：1～999min；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9、加热功率：≥3000W；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10、工作电压：220V/50Hz；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11、外观尺寸：深×宽×高≥635×655×850mm，工作室尺寸：深×宽×高≥460×550×550mm。</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5033.60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029970"/>
                      <wp:effectExtent l="0" t="0" r="5080" b="17780"/>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r/>
                            </pic:nvPicPr>
                            <pic:blipFill>
                              <a:blip r:embed="rId41"/>
                              <a:stretch/>
                            </pic:blipFill>
                            <pic:spPr bwMode="auto">
                              <a:xfrm>
                                <a:off x="0" y="0"/>
                                <a:ext cx="1004570" cy="1029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9.1pt;height:81.1pt;mso-wrap-distance-left:0.0pt;mso-wrap-distance-top:0.0pt;mso-wrap-distance-right:0.0pt;mso-wrap-distance-bottom:0.0pt;" stroked="f">
                      <v:path textboxrect="0,0,0,0"/>
                      <v:imagedata r:id="rId4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紫外线灭菌车</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紫外线灭菌车：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1、移动式紫外消毒车采用双灯管结构；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2、灯臂长度为：≥900mm，灯臂调节角度：0-180度；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3、紫外线波长≈253.7A；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4、定时范围：1-120min，定时误差≤15min；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5、电源：220V/50Hz，功率：≥60W（2×30W）；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6、安全防护分类：I类。</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1548.80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028065"/>
                      <wp:effectExtent l="0" t="0" r="5080" b="635"/>
                      <wp:docPr id="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pic:cNvPicPr>
                                <a:picLocks noChangeAspect="1"/>
                              </pic:cNvPicPr>
                              <pic:nvPr/>
                            </pic:nvPicPr>
                            <pic:blipFill>
                              <a:blip r:embed="rId42"/>
                              <a:stretch/>
                            </pic:blipFill>
                            <pic:spPr bwMode="auto">
                              <a:xfrm>
                                <a:off x="0" y="0"/>
                                <a:ext cx="1004570" cy="1028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9.1pt;height:81.0pt;mso-wrap-distance-left:0.0pt;mso-wrap-distance-top:0.0pt;mso-wrap-distance-right:0.0pt;mso-wrap-distance-bottom:0.0pt;" stroked="f">
                      <v:path textboxrect="0,0,0,0"/>
                      <v:imagedata r:id="rId4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cs="宋体"/>
                <w:b w:val="0"/>
                <w:bCs w:val="0"/>
                <w:i w:val="0"/>
                <w:iCs w:val="0"/>
                <w:color w:val="auto"/>
                <w:sz w:val="20"/>
                <w:szCs w:val="20"/>
                <w:u w:val="none"/>
                <w:lang w:val="en-US" w:eastAsia="zh-CN" w:bidi="ar"/>
              </w:rPr>
              <w:t xml:space="preserve">组培用</w:t>
            </w:r>
            <w:r>
              <w:rPr>
                <w:rFonts w:hint="eastAsia" w:ascii="宋体" w:hAnsi="宋体" w:eastAsia="宋体" w:cs="宋体"/>
                <w:b w:val="0"/>
                <w:bCs w:val="0"/>
                <w:i w:val="0"/>
                <w:iCs w:val="0"/>
                <w:color w:val="auto"/>
                <w:sz w:val="20"/>
                <w:szCs w:val="20"/>
                <w:u w:val="none"/>
                <w:lang w:val="en-US" w:eastAsia="zh-CN" w:bidi="ar"/>
              </w:rPr>
              <w:t xml:space="preserve">纯水机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纯水机（超纯水机）：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1、具备多行显示系统（电源、缺水、满水、纯水取水、超纯水取水、冲洗等）；具备电阻率仪在线显示监测系统（超纯水水质监控、RO 水水质监控、水温监控），具备水质检测显示功能；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2、具备开机自检、缺水保护报警、停电自动复位、满水自动停机、超低压保护、RO自动冲洗功能；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3、配置RO反渗透膜，内置RO膜防垢定时自动冲洗功能，有效延长RO膜使用寿命，保障纯水水质稳定，延长后级纯化柱和超纯化柱的寿命；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4、采用一体式设计，预处理、主机分离，RO反渗透、纯化柱、抛光超纯化柱等均内置在机壳内，系统模块均采用快接式设计，充分实现集成化、模块化、更换维修快速化；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5、内置纯水循环程序设计，开机快速达到1MΩ-cm@25℃，水质稳定，取水用水方便快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捷，无须等候；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7、进水水源：城市自来水；TDS＜200ppm；水压＞0.15Mpa；水温：5-45℃；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8、制水量：≥10L/h；瞬间取水量：≥2L/min；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9、RO纯水产水水质：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9.1、电导率≤1μS/cm@25℃；电阻率≥1MΩ•cm@25℃；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9.2、重金属离子＜0.01ppb；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9.3、总有机碳（TOC）＜20 ppb；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10、UP超纯水产水水质：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10.1、电阻率≥18.25MΩ-cm@25℃（电导率≤0.055 μS/cm@25℃）；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10.2、金属阳离子含量（单位：PPb）：Fe（铁）＜0.005；Cu（铜）＜0.005；Al（铝）＜0.005；Ni（镍）＜0.005；Zn（锌）＜0.02；Cr（铬）＜0.005；Na（钠）＜0.01；K（钾）＜0.02；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10.3、阴离子含量（单位：PPb）：Cl（氯）＜0.01；NO2（亚硝酸根）＜0.02；NO3（硝酸根）＜0.02 ；SO4（硫酸根）＜0.01；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10.4、总有机碳（TOC）＜10 ppb；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10.5、微生物/细菌：＜1CFU/mL；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10.6、颗粒物：截留率＞99%；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11、前置超纯水/纯水双取水口，后置超纯水无限供应取水功能；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12、配置≥20L全封闭真空压力储水桶，有效的保证了纯水水质，避免了因储存带来二次污染、阳光照射、微生物滋长等；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13、耐腐蚀ABS材质机壳，尺寸：≥450×300×500mm；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14、电源：220V/50Hz，功率：≥80W。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13939.20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970915"/>
                      <wp:effectExtent l="0" t="0" r="5080" b="635"/>
                      <wp:docPr id="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7"/>
                              <pic:cNvPicPr>
                                <a:picLocks noChangeAspect="1"/>
                              </pic:cNvPicPr>
                              <pic:nvPr/>
                            </pic:nvPicPr>
                            <pic:blipFill>
                              <a:blip r:embed="rId43"/>
                              <a:stretch/>
                            </pic:blipFill>
                            <pic:spPr bwMode="auto">
                              <a:xfrm>
                                <a:off x="0" y="0"/>
                                <a:ext cx="1004570" cy="970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9.1pt;height:76.5pt;mso-wrap-distance-left:0.0pt;mso-wrap-distance-top:0.0pt;mso-wrap-distance-right:0.0pt;mso-wrap-distance-bottom:0.0pt;" stroked="f">
                      <v:path textboxrect="0,0,0,0"/>
                      <v:imagedata r:id="rId4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微量可调移液器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pStyle w:val="884"/>
              <w:tabs>
                <w:tab w:val="center" w:pos="4153" w:leader="none"/>
                <w:tab w:val="clear" w:pos="7143" w:leader="none"/>
                <w:tab w:val="right" w:pos="8306" w:leader="none"/>
                <w:tab w:val="clear" w:pos="14287" w:leader="none"/>
              </w:tabs>
              <w:rPr>
                <w:rFonts w:hint="default"/>
                <w:lang w:val="en-US"/>
              </w:rPr>
            </w:pPr>
            <w:r>
              <w:rPr>
                <w:rFonts w:hint="eastAsia" w:ascii="宋体" w:hAnsi="宋体" w:eastAsia="宋体" w:cs="宋体"/>
                <w:i w:val="0"/>
                <w:iCs w:val="0"/>
                <w:color w:val="000000"/>
                <w:sz w:val="20"/>
                <w:szCs w:val="20"/>
                <w:u w:val="none"/>
                <w:lang w:val="en-US" w:eastAsia="zh-CN" w:bidi="ar"/>
              </w:rPr>
              <w:t xml:space="preserve">微量可调移液器2.5、10、200、1000、5000μL：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1、采用极佳耐热材料，可整支紫外灭菌，也可整支高温（121℃）消毒灭菌；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00</w:t>
            </w:r>
            <w:r>
              <w:rPr>
                <w:rFonts w:hint="eastAsia" w:ascii="宋体" w:hAnsi="宋体" w:eastAsia="宋体" w:cs="宋体"/>
                <w:i w:val="0"/>
                <w:iCs w:val="0"/>
                <w:color w:val="000000"/>
                <w:sz w:val="20"/>
                <w:szCs w:val="20"/>
                <w:u w:val="none"/>
                <w:lang w:val="en-US" w:eastAsia="zh-CN" w:bidi="ar"/>
              </w:rPr>
              <w:t xml:space="preserve">℃环境下外观无形变，所有功能正常使用；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3、人机功效学轻便设计，采用侧面数字视窗，更便于观察设定取液量程；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4、调节和取样按钮多功能一体化设置；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5、计数器自锁功能，防止非旋动碰触情况下计数器滑动而锁定量程；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6、防倒吸结构设计，主动防护误操作引起的设备损坏；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7、系统误差：≤1%（最大量程）；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8、量程范围：0.1-2.5μL/0.5-10μL/20-200μL/100-1000μL/1000-5000μL。</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15488</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right w:val="single" w:color="000000" w:sz="4" w:space="0"/>
            </w:tcBorders>
            <w:tcW w:w="71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085850"/>
                      <wp:effectExtent l="0" t="0" r="4445" b="0"/>
                      <wp:docPr id="3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pic:cNvPicPr>
                                <a:picLocks noChangeAspect="1"/>
                              </pic:cNvPicPr>
                              <pic:nvPr/>
                            </pic:nvPicPr>
                            <pic:blipFill>
                              <a:blip r:embed="rId44"/>
                              <a:stretch/>
                            </pic:blipFill>
                            <pic:spPr bwMode="auto">
                              <a:xfrm>
                                <a:off x="0" y="0"/>
                                <a:ext cx="100520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9.1pt;height:85.5pt;mso-wrap-distance-left:0.0pt;mso-wrap-distance-top:0.0pt;mso-wrap-distance-right:0.0pt;mso-wrap-distance-bottom:0.0pt;" stroked="f">
                      <v:path textboxrect="0,0,0,0"/>
                      <v:imagedata r:id="rId4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移液器架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移液器架：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1、注塑成型，稳固耐用；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2、人体工学倾斜式设计，可同时放置移液器数量：≥7支。</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464 </w:t>
            </w:r>
            <w:r/>
          </w:p>
        </w:tc>
        <w:tc>
          <w:tcPr>
            <w:shd w:val="clear" w:color="auto" w:fill="auto"/>
            <w:tcBorders>
              <w:left w:val="single" w:color="000000" w:sz="4" w:space="0"/>
              <w:bottom w:val="single" w:color="000000" w:sz="4" w:space="0"/>
              <w:right w:val="single" w:color="000000" w:sz="4" w:space="0"/>
            </w:tcBorders>
            <w:tcW w:w="718"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恒温磁力搅拌器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恒温磁力搅拌器：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1、采用直流电机作驱动，调速平稳，噪音低；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2、一体成形铝合金加热搅拌平台，加热速度快、加热温度均匀可调，使用安全，性能可靠；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3、工作盘尺寸：≥120×120mm；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3、搅拌容量：20-5000mL；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4、搅拌速度：0-2000转/分，转速无级调速；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5、加热温度：室温+5～380℃（加热温度可调）；</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、工作电压：AC 220V/50Hz；加热功率：0～200W（可调）；额定功率205W；</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、外观规格：≥240×130×90mm，辅助支架高度：≥300mm，重量：≥1.6kg。</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04875"/>
                      <wp:effectExtent l="0" t="0" r="4445" b="9525"/>
                      <wp:docPr id="3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pic:cNvPicPr>
                                <a:picLocks noChangeAspect="1"/>
                              </pic:cNvPicPr>
                              <pic:nvPr/>
                            </pic:nvPicPr>
                            <pic:blipFill>
                              <a:blip r:embed="rId45"/>
                              <a:stretch/>
                            </pic:blipFill>
                            <pic:spPr bwMode="auto">
                              <a:xfrm>
                                <a:off x="0" y="0"/>
                                <a:ext cx="100520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9.1pt;height:71.2pt;mso-wrap-distance-left:0.0pt;mso-wrap-distance-top:0.0pt;mso-wrap-distance-right:0.0pt;mso-wrap-distance-bottom:0.0pt;" stroked="f">
                      <v:path textboxrect="0,0,0,0"/>
                      <v:imagedata r:id="rId4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超声波清洗器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超声波清洗器：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1、整机不锈钢压花材质，加厚型内胆一次性冲压成型，防刮花防漏水，耐腐蚀耐热；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2、智能数显控制系统，一键变波功能自由切换，智能脱气功能提高清洗效率；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3、容量：≥30L；标配超声波功率≥600W/震头≥10个；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4、时间控制：1-99min可调；温度控制：室温-80℃可调，加热功率≥600W；超声频率：标配40KHz；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5、尺寸：≥530×325×325mm；内槽尺寸：≥500×300×200mm。</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5808</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729615"/>
                      <wp:effectExtent l="0" t="0" r="5080" b="13335"/>
                      <wp:docPr id="3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pic:cNvPicPr>
                                <a:picLocks noChangeAspect="1"/>
                              </pic:cNvPicPr>
                              <pic:nvPr/>
                            </pic:nvPicPr>
                            <pic:blipFill>
                              <a:blip r:embed="rId46"/>
                              <a:stretch/>
                            </pic:blipFill>
                            <pic:spPr bwMode="auto">
                              <a:xfrm>
                                <a:off x="0" y="0"/>
                                <a:ext cx="1004570" cy="729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9.1pt;height:57.4pt;mso-wrap-distance-left:0.0pt;mso-wrap-distance-top:0.0pt;mso-wrap-distance-right:0.0pt;mso-wrap-distance-bottom:0.0pt;" stroked="f">
                      <v:path textboxrect="0,0,0,0"/>
                      <v:imagedata r:id="rId46"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精油提取器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精油提取器：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1、主机材质：304优质不锈钢；物料篮容量：≥5L；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2、渐进式升温电陶炉加热方式，三重热均衡、无局部高温；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3、总电源开关和面板开关双重开关保障，采用触摸面板，液晶数码显示，实时功率详情清晰可见，具有定时加热功能；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4、加热蒸馏装置及冷凝装置可视化结构设计，具备开放式可视冷凝系统，高硬度高硼硅材质，水汽冷凝现象直观、便于教学；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5、拉扣式四定位微压密封盖，304不锈钢包边钢化玻璃盖，便于观察蒸汽产生过程；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6、加热功率：≥1000W，功率10级可调；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7、具有缺水断电保护功能；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8、输入电源电压：交流220V/50Hz。</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9292.80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1501140"/>
                      <wp:effectExtent l="0" t="0" r="3810" b="3810"/>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r/>
                            </pic:nvPicPr>
                            <pic:blipFill>
                              <a:blip r:embed="rId47"/>
                              <a:stretch/>
                            </pic:blipFill>
                            <pic:spPr bwMode="auto">
                              <a:xfrm>
                                <a:off x="0" y="0"/>
                                <a:ext cx="1005840" cy="150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9.2pt;height:118.2pt;mso-wrap-distance-left:0.0pt;mso-wrap-distance-top:0.0pt;mso-wrap-distance-right:0.0pt;mso-wrap-distance-bottom:0.0pt;" stroked="f">
                      <v:path textboxrect="0,0,0,0"/>
                      <v:imagedata r:id="rId4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光合作用反应仪</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光合作用反应仪：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1、专用于探究环境因素对植物的光合作用强度的影响；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2、仪器满足光合作用所需的环境条件，光照强度、光照时间、温度、光谱等可变环境因素控制结构设计，满足探究各种不同因素对植物光合作用的影响；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3、配置不小于7英寸的彩色触摸屏控制系统，要求显示清晰、触控灵敏、运行稳定，具备人机交互功能。屏幕表面需具备足够的硬度以确保耐用性和抗划伤</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4、配置可变换光谱LED植物专用补光灯，不同光谱独立控制，光照强度≥</w:t>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档可调，适合不同光强下植物光合作用实验探究；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5、设备配置自然界肉眼可见的光学三原色光谱红、绿、蓝以及混合光谱白光，并且可进行交叉组合不同的光质，满足多种光质环境探究实验；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6、温度控制范围：温度10-</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0℃可调，设备配置恒温加热和制冷装置，可维持反应室温度保持稳定不变，恒温范围±1.0℃；温控功能独立控制，设备内置恒温加热和制冷装置，温度接近需要温度时自动进入缓控温状态，维持反应室温度保持稳定不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7、反应前端设置透明观察窗，方便观察光合作用实验现象以及实验记录和拍照；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8、仪器尺寸：≥260×310×360mm，反应室空间：≥255×200×170mm；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9、电源：AC220V/50Hz，功率：≥300W。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9680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659130"/>
                      <wp:effectExtent l="0" t="0" r="4445" b="7620"/>
                      <wp:docPr id="3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2"/>
                              <pic:cNvPicPr>
                                <a:picLocks noChangeAspect="1"/>
                              </pic:cNvPicPr>
                              <pic:nvPr/>
                            </pic:nvPicPr>
                            <pic:blipFill>
                              <a:blip r:embed="rId48"/>
                              <a:stretch/>
                            </pic:blipFill>
                            <pic:spPr bwMode="auto">
                              <a:xfrm>
                                <a:off x="0" y="0"/>
                                <a:ext cx="1005205" cy="659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9.1pt;height:51.9pt;mso-wrap-distance-left:0.0pt;mso-wrap-distance-top:0.0pt;mso-wrap-distance-right:0.0pt;mso-wrap-distance-bottom:0.0pt;" stroked="f">
                      <v:path textboxrect="0,0,0,0"/>
                      <v:imagedata r:id="rId48" o:title=""/>
                    </v:shape>
                  </w:pict>
                </mc:Fallback>
              </mc:AlternateContent>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环境测量仪-光照度</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环境测量仪-光照度：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1、显示器：大液晶屏显示器，尺寸≥35×40mm，六位数字显示；显示屏带背景灯光，且具有彩色背景灯光报警提示，测量数据模拟条刻度指示，低电量等级指示功能，10分钟无操作自动关机；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2、测量范围（具备环境光照度、温度、湿度测量功能）：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2.1、照度：0.1-300000Lux/0.01-30000Fc；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2.2、温度：0-60℃；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2.3、湿度：0-99%RH；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3、具有测量数据Hi高出和Low低出报警值设置功能；具有自动切换档位功能，数据保持，测量最大值、最小值、平均值查看功能；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4、分辨率：0.1Lux；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5、准确度：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5.1、照度：±3% rdg±0.5% f.s.（＜10,000 Lux）；±4%rdg±10dgts（＞10,000 Lux）（以色温2856 K标准平面灯校正）；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5.2、温度：±1℃；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5.3、湿度：±8%RH；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6、重复测试：±2%；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7、温度特性：±0.1%/℃；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8、取样率：约2 times/sec；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9、记录器输出：DC 2V/f.s.（满刻度）；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10、操作及储存温湿度：-10°至50℃，＜80%RH，室内海拔＜2000m；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、产品尺寸：≥152mm（L）×55mm（W）×33mm（H）；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、电源：3×1.5VAAA电池。</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1161.60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1223010"/>
                      <wp:effectExtent l="0" t="0" r="3810" b="15240"/>
                      <wp:docPr id="3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3"/>
                              <pic:cNvPicPr>
                                <a:picLocks noChangeAspect="1"/>
                              </pic:cNvPicPr>
                              <pic:nvPr/>
                            </pic:nvPicPr>
                            <pic:blipFill>
                              <a:blip r:embed="rId49"/>
                              <a:stretch/>
                            </pic:blipFill>
                            <pic:spPr bwMode="auto">
                              <a:xfrm>
                                <a:off x="0" y="0"/>
                                <a:ext cx="1005840"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9.2pt;height:96.3pt;mso-wrap-distance-left:0.0pt;mso-wrap-distance-top:0.0pt;mso-wrap-distance-right:0.0pt;mso-wrap-distance-bottom:0.0pt;" stroked="f">
                      <v:path textboxrect="0,0,0,0"/>
                      <v:imagedata r:id="rId4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环境测量仪-温湿度</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环境测量仪-温湿度（空气质量）：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1、≥2.8寸超大屏幕LED高清液晶显示，读数清晰，直观方便；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2、采用传感器，一键校准技术，智能记忆校准；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3、甲醛和TVOC多种有害气体双千位检测，温度、湿度检测一目了然，空气质量指数（AQI）检测，五等级空气质量鉴定；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4、3D对流气孔，空气实时循环对流检测更准确，隐形背靠支架，方便直立放置观察；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5、检测范围：甲醛0-2.888mg/m³；TVOC（总挥发性有机化合物）0-9.999mg/m³；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6、空气污染超标自动警报提示；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7、背景光开/关和报警功能开/关切换；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8、内置≥2000mAh大容量充电锂电池，先进稳压电路，省电模式，待机时间长；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9、显示分辨率：温度：≤1℃；湿度：≤1%RH；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10、测量精度：温度：≤1℃；湿度：≤5%RH；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11、输入电压：DC5V，500mA;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12、仪器尺寸：≈150×68×30mm；</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580.80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082040"/>
                      <wp:effectExtent l="0" t="0" r="5080" b="3810"/>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4"/>
                              <pic:cNvPicPr>
                                <a:picLocks noChangeAspect="1"/>
                              </pic:cNvPicPr>
                              <pic:nvPr/>
                            </pic:nvPicPr>
                            <pic:blipFill>
                              <a:blip r:embed="rId50"/>
                              <a:stretch/>
                            </pic:blipFill>
                            <pic:spPr bwMode="auto">
                              <a:xfrm>
                                <a:off x="0" y="0"/>
                                <a:ext cx="100457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9.1pt;height:85.2pt;mso-wrap-distance-left:0.0pt;mso-wrap-distance-top:0.0pt;mso-wrap-distance-right:0.0pt;mso-wrap-distance-bottom:0.0pt;" stroked="f">
                      <v:path textboxrect="0,0,0,0"/>
                      <v:imagedata r:id="rId5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多功能水质测量仪</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多功能水质测量仪：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广泛适用于实验室、植物栽培、环境监测等多种不同环境下水质检测。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1、ABS工程塑料材质，人体工学手握外形设计；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2、防水等级：IP67；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3、LCD背光液晶显示屏，方便在环境黑暗条件下观察和读取数据；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4、7合1参数测量，多参数测量复合电极探头，可测量溶液pH、TDS、TEMP、EC、盐度、SG、ORP参数；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5、EC电导率测量参数：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测量范围：0-10000μs/cm，10.01-19.99mS/cm（自动转换测量范围）； 分辨率：1μs/cm，0.1mS/cm；精度：±2％FS；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6、TDS测量参数：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测量范围：0-10000ppm，10.1-20.0ppt（自动转换测量范围）；分辨率：1ppm，0.1ppt；精度：±2％FS；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7、盐度测量参数：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测量范围：0.01％-25.00％；分辨率：0.01％；精度：0.01-5.00％（±0.1％），5.1-25.0％（±1％）；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8、pH值测量参数：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测量范围：0.01-14.00рH；分辨率：0.01pH；准确度：±0.05pH；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9、ORP富氢量测量参数：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测量范围：±999mv；分辨率：1mv；精度：±2mv；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10、SG盐比重测量参数：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测量范围：1.000-1.222；工作环境：0至60.0℃（32.0-140℉），相对湿度100％；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11、温度测量参数：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测量范围：0.1-60.0℃，32.0-140℉；精度：±0.5℃；分辨率：0.1℃/℉；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12、自动温度补偿（ATC）0-60℃，一键切换参数和固定读数功能，保证测量参数的准确性；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13、支持3点校准自动识别校准液；5分钟自动关机，节能环保；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15、仪器规格：尺寸：≥185×37×37mm；显示屏尺寸：≥29×20mm；重量：≥90g；电源：3×1.5V（LR44）。</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2323.20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174750"/>
                      <wp:effectExtent l="0" t="0" r="4445" b="6350"/>
                      <wp:docPr id="4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6"/>
                              <pic:cNvPicPr>
                                <a:picLocks noChangeAspect="1"/>
                              </pic:cNvPicPr>
                              <pic:nvPr/>
                            </pic:nvPicPr>
                            <pic:blipFill>
                              <a:blip r:embed="rId51"/>
                              <a:stretch/>
                            </pic:blipFill>
                            <pic:spPr bwMode="auto">
                              <a:xfrm>
                                <a:off x="0" y="0"/>
                                <a:ext cx="1005205" cy="1174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9.1pt;height:92.5pt;mso-wrap-distance-left:0.0pt;mso-wrap-distance-top:0.0pt;mso-wrap-distance-right:0.0pt;mso-wrap-distance-bottom:0.0pt;" stroked="f">
                      <v:path textboxrect="0,0,0,0"/>
                      <v:imagedata r:id="rId5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光照培养箱：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1、温度控制范围：0-50℃（温度分辨率0.1℃，控温精度0-50±0.5℃）；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2、制冷装置：压缩机与冷凝器冷热交换比例（1：1.135），制冷效果好、节能、使用寿命长；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3、加热装置：镍铬合金加热装置，合理功率配比，制热效果好、节能、使用寿命长；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4、光照控制范围：0-30000Lux无级可调，光源平均寿命：≥50000小时；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5、光照装置：市电隔离低压安全光源，防止触电引发实验事故；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6、平面光照设计，平面受光点照度接近一致，同一平面内实验结果接近一致。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7、控制方式：微电脑控制器，多段可编程序，人性化智能设定，实验全自动控制及运行；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8、操作界面：点晶屏操作方式，简单实用，易学易懂；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9、内部循环：内部柔和循环风设计，温度均匀＜1℃；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10、保护装置：控制器程序保护与机械温度异常保护同时运行，安全可靠；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11、记忆功能：掉电记忆功能，掉电时间自动补偿功能；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12、一次性发泡成型技术，外观精美且保温性能极高；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13、容积：250L，内胆尺寸：长×宽×高≥480×520×1140mm，外形尺寸：长×宽×高≥580×630×1760mm。</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20425.60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053465"/>
                      <wp:effectExtent l="0" t="0" r="5080" b="13335"/>
                      <wp:docPr id="4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7"/>
                              <pic:cNvPicPr>
                                <a:picLocks noChangeAspect="1"/>
                              </pic:cNvPicPr>
                              <pic:nvPr/>
                            </pic:nvPicPr>
                            <pic:blipFill>
                              <a:blip r:embed="rId52"/>
                              <a:stretch/>
                            </pic:blipFill>
                            <pic:spPr bwMode="auto">
                              <a:xfrm>
                                <a:off x="0" y="0"/>
                                <a:ext cx="1004570" cy="1053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9.1pt;height:83.0pt;mso-wrap-distance-left:0.0pt;mso-wrap-distance-top:0.0pt;mso-wrap-distance-right:0.0pt;mso-wrap-distance-bottom:0.0pt;" stroked="f">
                      <v:path textboxrect="0,0,0,0"/>
                      <v:imagedata r:id="rId5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光照培养架：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1、外观尺寸：长×宽×高≥1350×450×1800mm，实用四层，层板材料厚度≥0.5mm，立柱及横撑全钢厚度≥1.5mm；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2、采用卡扣式结构设计，稳固耐用，方便安装维护，外观采用静电喷涂工艺，保证长期不锈不掉漆；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3、每层标配三组白红蓝三色植物生长专用补光灯，额定功率≥16W/组，色温6500K，单组光强≥1600LM，光效≥90LM/W；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4、灯管和灯架一体化设计，设置柔光灯罩，避免光线刺眼伤害且光线均匀分布，每组灯光独立开关，每层光照强度3级可调；</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10164</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42975"/>
                      <wp:effectExtent l="0" t="0" r="4445" b="9525"/>
                      <wp:docPr id="4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8"/>
                              <pic:cNvPicPr>
                                <a:picLocks noChangeAspect="1"/>
                              </pic:cNvPicPr>
                              <pic:nvPr/>
                            </pic:nvPicPr>
                            <pic:blipFill>
                              <a:blip r:embed="rId53"/>
                              <a:stretch/>
                            </pic:blipFill>
                            <pic:spPr bwMode="auto">
                              <a:xfrm>
                                <a:off x="0" y="0"/>
                                <a:ext cx="100520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9.1pt;height:74.2pt;mso-wrap-distance-left:0.0pt;mso-wrap-distance-top:0.0pt;mso-wrap-distance-right:0.0pt;mso-wrap-distance-bottom:0.0pt;" stroked="f">
                      <v:path textboxrect="0,0,0,0"/>
                      <v:imagedata r:id="rId53" o:title=""/>
                    </v:shape>
                  </w:pict>
                </mc:Fallback>
              </mc:AlternateConten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植物生长专用培养架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植物生长专用培养架：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1、符合植物栽培、种子发芽、苗木、无菌苗、动物、昆虫等研究的理想实验设备；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2、采用欧标铝型材作为整体框架主材料，表面电泳处理，耐腐蚀，表面光洁度高，无毛刺；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3、每层置物板下方配备LED植物专用生长光源模组，使用寿命长、节能、光照均匀度好；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4、置物板采用镜面不锈钢，耐腐蚀；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5、每层置物板高度调节由四个角的滑动块连接件进行松紧调节，方便，无需额外螺丝孔，表面干净，美观，无毛刺；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6、置物板前部设置遮光装置，可有效防止光照逃逸造成人员刺眼等损伤；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7、每层置物板的右侧配备</w:t>
            </w:r>
            <w:r>
              <w:rPr>
                <w:rFonts w:hint="eastAsia" w:ascii="宋体" w:hAnsi="宋体" w:eastAsia="宋体" w:cs="宋体"/>
                <w:b w:val="0"/>
                <w:bCs w:val="0"/>
                <w:color w:val="auto"/>
                <w:sz w:val="21"/>
                <w:szCs w:val="21"/>
                <w:lang w:val="en-US" w:eastAsia="zh-CN"/>
              </w:rPr>
              <w:t xml:space="preserve">主光灯组、辅光灯组、功率调节器</w:t>
            </w:r>
            <w:r>
              <w:rPr>
                <w:rFonts w:hint="eastAsia" w:ascii="宋体" w:hAnsi="宋体" w:cs="宋体"/>
                <w:b w:val="0"/>
                <w:bCs w:val="0"/>
                <w:color w:val="auto"/>
                <w:sz w:val="21"/>
                <w:szCs w:val="21"/>
                <w:lang w:val="en-US" w:eastAsia="zh-CN"/>
              </w:rPr>
              <w:t xml:space="preserve">等功能</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8、培养架底部采用带固定式的牛仔万向滑轮，即可使用万向轮移动培养架；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9、植物生长专用模组（红白）光源板尺寸：≥1120×520×32mm，光照度：≥150μmol/㎡·s，240W；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10、每层置物板内置USB接口不低于4个，每个USB接口独立开关控制，每层置物板提供220V电源接口不低于3个，可供外置设备供电使用；</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18150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16305"/>
                      <wp:effectExtent l="0" t="0" r="4445" b="17145"/>
                      <wp:docPr id="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9"/>
                              <pic:cNvPicPr>
                                <a:picLocks noChangeAspect="1"/>
                              </pic:cNvPicPr>
                              <pic:nvPr/>
                            </pic:nvPicPr>
                            <pic:blipFill>
                              <a:blip r:embed="rId54"/>
                              <a:stretch/>
                            </pic:blipFill>
                            <pic:spPr bwMode="auto">
                              <a:xfrm>
                                <a:off x="0" y="0"/>
                                <a:ext cx="1005205" cy="91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9.1pt;height:72.1pt;mso-wrap-distance-left:0.0pt;mso-wrap-distance-top:0.0pt;mso-wrap-distance-right:0.0pt;mso-wrap-distance-bottom:0.0pt;" stroked="f">
                      <v:path textboxrect="0,0,0,0"/>
                      <v:imagedata r:id="rId5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多功能生态养殖箱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多功能生态养殖箱：</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生态养殖箱用于在栽植植物的同时养殖多种陆生小型动物，也可布置水生动植物生长环境，养殖多种水生小型动物或者两栖爬行类动物，创造动物所需的自然舒适环境，便于观察动物接近自然状况下的日常行为，对观察和记录动物自身的生长繁殖以及与同环境中其他动物、植物之间的互作关系提供帮助，研究小型生态循环系统的动植物相互作用；</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2、装置用于生命科学实验中生态环境的设计和循环以及生态缸的布置等实验；</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3、主体材质为高透光超白晶玻璃，精心打磨，手感平滑，不低于5mm加厚无边框设计，结构稳固，透光率≥91.5%，用于观赏、拍照、录像动植物的生长状态，观赏体验效果更好；</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4、底座及顶盖采用ABS工程塑料，无毒、无味，兼有韧、硬、刚的特性，有极好的冲击强度，尺寸稳定性好，耐磨；</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5、顶盖立体设计，内嵌阻尼轴心，开关无声，静音开合10000次以上无明显损坏；</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6、内置感温度探头，栽培环境温度实时监测并LED数码显示，环境温度一目了然；</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7、顶盖设置5370植物生长专用高亮补光灯，提供植物生长所需有效光谱，光照模式设置八色幻彩灯光，包括白、蓝、红、紫、绿、青、黄、渐变照明模式，通过触摸按键可进行一键交替切换使用并一键照明亮度调节，增加教学实验的对比性和趣味性，补光灯采用柔光板设计，在保护养殖昆虫动物应激反应的同时，也保护灯珠强光对人眼的伤害；</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8、多功能顶盖设置，根据陆生动植物养殖和水生动植物养殖，分别进行食物盒和水循环过滤系统；</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8.1、水生生态环境布置可设置高效静音过滤，可选用各种不同的过滤材质，对水质过滤洁净程度进行探究（推荐净水材质有碳过滤棉、生化棉、中空石英球、陶瓷圈、颗粒活性炭等）；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8.2、多功能三合一仿生态水泵，增氧、循环、造浪一泵完成；</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8.3、顶盖设置自动通风换气系统，保证栽培环境中的空气流通和进行内部气体更换更换； 8.4、设置80mL旋转式防卡粮搅拌食物补给仓，阻挡水汽进入，可设置三档时间自动喂食；</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8.5、顶盖配备室内环境自动净化空气功能，香薰或喷雾三档可调；</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9、装置整体尺寸：≥375×240×365mm，重量：≥7kg；</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10、采用安全直流电压供电，总功率≥10W。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3146</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745490"/>
                      <wp:effectExtent l="0" t="0" r="5080" b="16510"/>
                      <wp:docPr id="4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0"/>
                              <pic:cNvPicPr>
                                <a:picLocks noChangeAspect="1"/>
                              </pic:cNvPicPr>
                              <pic:nvPr/>
                            </pic:nvPicPr>
                            <pic:blipFill>
                              <a:blip r:embed="rId55"/>
                              <a:stretch/>
                            </pic:blipFill>
                            <pic:spPr bwMode="auto">
                              <a:xfrm>
                                <a:off x="0" y="0"/>
                                <a:ext cx="1004570" cy="74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9.1pt;height:58.7pt;mso-wrap-distance-left:0.0pt;mso-wrap-distance-top:0.0pt;mso-wrap-distance-right:0.0pt;mso-wrap-distance-bottom:0.0pt;" stroked="f">
                      <v:path textboxrect="0,0,0,0"/>
                      <v:imagedata r:id="rId5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水耕生态养殖系统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水耕生态养殖系统：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1、复合耕作体系生态环境设计，实现水生动植物和陆生动植物协同共生效应，探究水生动物、水生植物、陆生动物、陆生植物和微生物及必要环境因素之间生态平衡关系；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2、整体尺寸：宽×深×高≥≥1000×500×1720mm，陆生动植物养殖空间尺寸：宽×深×高≥900×390×150mm，水生动植物养殖空间尺寸：宽×深×高≥960×420×300mm；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3、主体材质为钢结构骨架，外饰面防水板材质包边，结构美观和防水；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4、配置不小于7英寸的彩色触摸屏控制系统，要求显示清晰、触控灵敏、运行稳定，具备人机交互功能。屏幕表面需具备足够的硬度以确保耐用性和抗划伤</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5、陆生动植物养殖箱与水生动植物养殖箱封闭隔离设计及肥水连通循环结构设计，上、下双层生态系统隔离设计，上层为陆生动植物栽培区域，下层为水生动植物栽培区；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陆生动植物养殖区分为水培区、基质栽培区和水质净化区，设置不低于三重级别水质净化过滤装置，实时监测显示生长环境温度、湿度、光照强度、二氧化碳浓度等参数，植物生长补光可分段控制，设定范围为24段不同时间段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7、水生动植物养殖区用于水陆两栖类动物和水生植物的养殖：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7.1 水生环境水温、TDS值、pH值等参数实时监测显示，水生环境温度补偿，配置水体加热装置，保证不同环境动物生长温度需求，水体加热装置独立开关控制；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7.2 水生环境配备杀菌装置，用于水生区域微生物的消杀，杀菌装置独立开关控制；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7.3 设置水体循环装置，为陆生植物生长提供营养水分；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7.4 设置水体造浪装置和水体补氧装置，循环水泵和增氧泵保证水质的氧气充足，水生动物健康愉悦生长，循环水泵功率：35-60W，增氧泵功率：8-10W；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7.5 水体循环水泵运行维保时间设置，提醒用户定期清洗营养液水泵，保证水泵高效运行；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7.6 水生动植物养殖区补光、杀菌、水泵循环、造浪、增氧等装置可分段控制，设定范围为24段不同时间段控制；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7.7 水体水箱独立设置高低水位监测功能，在水位出现异常情况下发出蜂鸣警示并文字提示警示原因，方便用户解决问题；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8、各模块运行状态屏显直观可见，系统控制装置异常警示并文字提示，工控设置保存并执行；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9、下层主体材质采用≥10mm厚超白钢玻璃，透明度强，适合观察水生动植物的生长状态；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10、设备底部设置有活动抽屉，便于放置营养液、种子、种植工具等小型耗材及工具；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11、电压：AC220V/50Hz；功率：约150W。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38940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415415"/>
                      <wp:effectExtent l="0" t="0" r="5080" b="13335"/>
                      <wp:docPr id="4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3"/>
                              <pic:cNvPicPr>
                                <a:picLocks noChangeAspect="1"/>
                              </pic:cNvPicPr>
                              <pic:nvPr/>
                            </pic:nvPicPr>
                            <pic:blipFill>
                              <a:blip r:embed="rId56"/>
                              <a:stretch/>
                            </pic:blipFill>
                            <pic:spPr bwMode="auto">
                              <a:xfrm>
                                <a:off x="0" y="0"/>
                                <a:ext cx="1004570" cy="1415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9.1pt;height:111.4pt;mso-wrap-distance-left:0.0pt;mso-wrap-distance-top:0.0pt;mso-wrap-distance-right:0.0pt;mso-wrap-distance-bottom:0.0pt;" stroked="f">
                      <v:path textboxrect="0,0,0,0"/>
                      <v:imagedata r:id="rId56"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全温振荡器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全温振荡器：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1、全温振荡器广泛应用于教学、医疗、卫生防疫、环境监测等部门作生物、生化、细胞、菌种等各种液态、固态化合物的振荡培养；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2、设备外框为加厚钣金喷塑，内腔采用304不锈钢制作，抗腐蚀和保温性能良好；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3、静电喷塑箱体，大屏幕透明视窗，三维一体传动机构，运转平稳，承载力大；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4、无刷直流电机控制系统，带调速、恒力矩、恒转速、无碳刷、免保养、控速精准，具备缓启动功能，运转平稳，在启动期间保护样品安全，仪器升温和降温情况下不掉速；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5、温控精准，可进行培养环境的降温和加温，控制温度范围：4-60℃，控温精度：≤0.1℃，分辨率：0.1℃，温度均匀度：≤1℃；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6、转速：40-300rpm，振幅：≥Φ25mm；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7、实时显示设定参数和实测参数，设备运行状态动态显示；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8、智能化声光故障报警，并在液晶屏显示和提示当前故障信息，同时在主板上进行故障报警信息储存，方便用户随时查阅；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9、可储存不低于20个不同运行的程序，方便实验操作时参数设定，仪器运行定时范围：0-999h；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10、采用万能不锈钢弹簧网架，弹簧网架尺寸：≥450×400mm，可容纳培养瓶数量容量：≥500mL×9/250mL×16/100mL×25；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11、温度、转速等参数可实时监测，自动绘制参数曲线，记录频率为1-9999s（可进行记录数据的自动打印，自动打印数据时间间隔为1-600分，日期间隔为0-7天，打印需增配外接打印机）；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、可开关机时间设定，运行参数加密锁定，内设照明灯和紫外杀菌装置，具备断电恢复功能；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、电源电压：220V/50Hz；整机功率≥1000W。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17036.80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096010"/>
                      <wp:effectExtent l="0" t="0" r="5080" b="8890"/>
                      <wp:docPr id="4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4"/>
                              <pic:cNvPicPr>
                                <a:picLocks noChangeAspect="1"/>
                              </pic:cNvPicPr>
                              <pic:nvPr/>
                            </pic:nvPicPr>
                            <pic:blipFill>
                              <a:blip r:embed="rId57"/>
                              <a:stretch/>
                            </pic:blipFill>
                            <pic:spPr bwMode="auto">
                              <a:xfrm>
                                <a:off x="0" y="0"/>
                                <a:ext cx="1004570"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9.1pt;height:86.3pt;mso-wrap-distance-left:0.0pt;mso-wrap-distance-top:0.0pt;mso-wrap-distance-right:0.0pt;mso-wrap-distance-bottom:0.0pt;" stroked="f">
                      <v:path textboxrect="0,0,0,0"/>
                      <v:imagedata r:id="rId5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耗材包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1、吸头，10μL，1000个/包，5包；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2、吸头，200μL，1000个/包，5包；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3、吸头，1000μL，500个/包，5包；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4、吸头，5000μL，300个/包，5包；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5、吸头盒，10μL，8个；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6、吸头盒，200μL，8个；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7、吸头盒，1000μL，8个；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8、吸头盒，5000μL，8个；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9、组培瓶，150mL，600个；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10、培养皿，一次性90mm，500个/箱，1箱；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11、封口膜，16cm×16cm，500张/包，2包；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12、称量纸，90×90mm，2包；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13、擦镜纸，50张/本，10本；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14、脱脂棉，500g/包，2包；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15、酒精灯芯，标准，100条/包，2包；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16、无粉乳胶手套，50只/盒，中号，5盒；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17、育苗盘，21穴，尺寸：540×285mm，壁厚1mm，50个。</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11435</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教学试剂包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1、试剂盒-植物的组织培养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2、试剂盒-手指植物的制作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3、试剂盒-菩提树组织培养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4、试剂盒-胡萝卜组织培养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5、试剂盒-矮牵牛组织培养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6、试剂盒-百合组织培养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7、试剂盒-彩叶草组织培养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8、试剂盒-菊花组织培养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9、试剂盒-卡特兰愈伤组织培养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10、试剂盒-落地生根组织培养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11、试剂盒-葡萄风信子组织培养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12、试剂盒-小丽花组织培养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13、试剂盒-烟草组织培养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14、试剂盒-铁皮石斛组织培养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15、试剂盒-草莓组织培养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16、试剂盒-枸杞组织培养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17、试剂盒-金线莲组织培养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18、试剂盒-含羞草组织培养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19、试剂盒-蛇莓组织培养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20、试剂盒-太阳花组织培养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21、试剂盒-月季组织培养</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11277</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无菌种苗包</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1、无菌苗-烟草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2、无菌苗-百合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3、无菌苗-矮牵牛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4、无菌苗-卡特兰愈伤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5、无菌苗-小丽花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6、无菌苗-菊花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7、无菌苗-菩提树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8、无菌苗-月季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9、无菌苗-落地生根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10、无菌苗-葡萄风信子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11、无菌苗-彩叶草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12、无菌苗-铁皮石斛-长芽无愈伤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13、无菌苗-草莓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14、无菌苗-枸杞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15、无菌苗-金线莲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16、无菌苗-菊花精油瓶挂件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17、无菌苗-含羞草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18、无菌苗-蛇莓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19、无菌苗-太阳花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20、无菌苗-胡萝卜</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1973</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循环通风净化过滤系统（无菌间）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正压送风，高效过滤自净器一套，风量1000立方/小时，喷塑铝合金进出风口，含运输和安装。</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48000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风淋室</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外行尺寸：1300×780×2050 （宽×深×高） 净化区尺寸：700×780×1950（宽×深×高）（±20mm）， 过滤器净化效率：≥0.5um尘埃≥99.99%（钠焰法）电 源： 220V-50Hz 最大功率：0.55KW 重 量：150Kg 有隔板高效过滤器尺寸：600×600×120×2</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15040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净化灯</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净化实验室专用，双管（2×40W）不锈钢直边</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紫外灯</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功率40W</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净化顶板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50系列实验室专用净化苯板一边加钢带(主材为宝钢基板0.5mm,表面喷塑处理)。</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24400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净化立板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50系列实验室专用净化苯板一边加钢带(主材为宝钢基板0.5mm,表面喷塑处理)。</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21960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50系列实验室门专用净化苯板表面喷塑处理</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净化板透视窗</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5mm钢化玻璃，净化板系列专用型材。</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室内水\电路改造\系统集成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铜芯线按照容量需求配线，PVC阻燃穿线管及暗合</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地插</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六孔地槽，含安装</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墙插</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五孔墙插，含安装</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56座上通风化学实验室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钢木</w:t>
            </w:r>
            <w:r>
              <w:rPr>
                <w:rFonts w:hint="eastAsia" w:ascii="宋体" w:hAnsi="宋体" w:eastAsia="宋体" w:cs="宋体"/>
                <w:i w:val="0"/>
                <w:iCs w:val="0"/>
                <w:color w:val="auto"/>
                <w:sz w:val="20"/>
                <w:szCs w:val="20"/>
                <w:u w:val="none"/>
                <w:lang w:val="en-US" w:eastAsia="zh-CN" w:bidi="ar"/>
              </w:rPr>
              <w:t xml:space="preserve">教师桌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sz w:val="20"/>
                <w:szCs w:val="18"/>
              </w:rPr>
            </w:pPr>
            <w:r>
              <w:rPr>
                <w:rFonts w:hint="eastAsia" w:ascii="宋体" w:hAnsi="宋体" w:eastAsia="宋体" w:cs="宋体"/>
                <w:sz w:val="20"/>
                <w:szCs w:val="18"/>
              </w:rPr>
              <w:t xml:space="preserve">1.规格：2400×700×850mm±10mm；</w:t>
            </w:r>
            <w:r/>
          </w:p>
          <w:p>
            <w:pPr>
              <w:rPr>
                <w:rFonts w:hint="eastAsia" w:ascii="宋体" w:hAnsi="宋体" w:eastAsia="宋体" w:cs="宋体"/>
                <w:sz w:val="20"/>
                <w:szCs w:val="18"/>
                <w:lang w:eastAsia="zh-CN"/>
              </w:rPr>
            </w:pPr>
            <w:r>
              <w:rPr>
                <w:rFonts w:hint="eastAsia" w:ascii="宋体" w:hAnsi="宋体" w:eastAsia="宋体" w:cs="宋体"/>
                <w:sz w:val="20"/>
                <w:szCs w:val="18"/>
              </w:rPr>
              <w:t xml:space="preserve">2.台面：采用≥12.7mm厚双面膜实芯理化板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rPr>
                <w:rFonts w:hint="eastAsia" w:ascii="宋体" w:hAnsi="宋体" w:eastAsia="宋体" w:cs="宋体"/>
                <w:sz w:val="20"/>
                <w:szCs w:val="18"/>
              </w:rPr>
            </w:pPr>
            <w:r>
              <w:rPr>
                <w:rFonts w:hint="eastAsia" w:ascii="宋体" w:hAnsi="宋体" w:eastAsia="宋体" w:cs="宋体"/>
                <w:sz w:val="20"/>
                <w:szCs w:val="18"/>
              </w:rPr>
              <w:t xml:space="preserve">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r/>
          </w:p>
          <w:p>
            <w:pPr>
              <w:rPr>
                <w:rFonts w:hint="eastAsia" w:ascii="宋体" w:hAnsi="宋体" w:eastAsia="宋体" w:cs="宋体"/>
                <w:sz w:val="20"/>
                <w:szCs w:val="18"/>
              </w:rPr>
            </w:pPr>
            <w:r>
              <w:rPr>
                <w:rFonts w:hint="eastAsia" w:ascii="宋体" w:hAnsi="宋体" w:eastAsia="宋体" w:cs="宋体"/>
                <w:sz w:val="20"/>
                <w:szCs w:val="18"/>
              </w:rPr>
              <w:t xml:space="preserve">4.门铰：采用阻尼铰链。自闭式，与柜体面水平角度&lt;15度时，柜门即可自行关闭，使用过程中无噪音，可开关十万次。</w:t>
            </w:r>
            <w:r/>
          </w:p>
          <w:p>
            <w:pPr>
              <w:rPr>
                <w:rFonts w:hint="eastAsia" w:ascii="宋体" w:hAnsi="宋体" w:eastAsia="宋体" w:cs="宋体"/>
                <w:sz w:val="20"/>
                <w:szCs w:val="18"/>
              </w:rPr>
            </w:pPr>
            <w:r>
              <w:rPr>
                <w:rFonts w:hint="eastAsia" w:ascii="宋体" w:hAnsi="宋体" w:eastAsia="宋体" w:cs="宋体"/>
                <w:sz w:val="20"/>
                <w:szCs w:val="18"/>
              </w:rPr>
              <w:t xml:space="preserve">5.滑轨：采用阻尼三节滑轨。</w:t>
            </w:r>
            <w:r/>
          </w:p>
          <w:p>
            <w:pPr>
              <w:rPr>
                <w:rFonts w:hint="eastAsia" w:ascii="宋体" w:hAnsi="宋体" w:eastAsia="宋体" w:cs="宋体"/>
                <w:sz w:val="20"/>
                <w:szCs w:val="18"/>
              </w:rPr>
            </w:pPr>
            <w:r>
              <w:rPr>
                <w:rFonts w:hint="eastAsia" w:ascii="宋体" w:hAnsi="宋体" w:eastAsia="宋体" w:cs="宋体"/>
                <w:sz w:val="20"/>
                <w:szCs w:val="18"/>
              </w:rPr>
              <w:t xml:space="preserve">6.手抽:一字型，表面有光滑防腐涂层。</w:t>
            </w:r>
            <w:r/>
          </w:p>
          <w:p>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 xml:space="preserve">7.固定脚：采用ABS工程塑料模具成型制作而成，具有高度可调、耐磨、防潮、耐腐蚀等特点。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40130" cy="876300"/>
                      <wp:effectExtent l="0" t="0" r="7620" b="0"/>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
                              <pic:cNvPicPr>
                                <a:picLocks noChangeAspect="1"/>
                              </pic:cNvPicPr>
                              <pic:nvPr/>
                            </pic:nvPicPr>
                            <pic:blipFill>
                              <a:blip r:embed="rId58"/>
                              <a:stretch/>
                            </pic:blipFill>
                            <pic:spPr bwMode="auto">
                              <a:xfrm>
                                <a:off x="0" y="0"/>
                                <a:ext cx="1040129"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81.9pt;height:69.0pt;mso-wrap-distance-left:0.0pt;mso-wrap-distance-top:0.0pt;mso-wrap-distance-right:0.0pt;mso-wrap-distance-bottom:0.0pt;" stroked="f">
                      <v:path textboxrect="0,0,0,0"/>
                      <v:imagedata r:id="rId58"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化学</w:t>
            </w:r>
            <w:r>
              <w:rPr>
                <w:rFonts w:hint="eastAsia" w:ascii="宋体" w:hAnsi="宋体" w:eastAsia="宋体" w:cs="宋体"/>
                <w:i w:val="0"/>
                <w:iCs w:val="0"/>
                <w:color w:val="000000"/>
                <w:sz w:val="20"/>
                <w:szCs w:val="20"/>
                <w:u w:val="none"/>
                <w:lang w:val="en-US" w:eastAsia="zh-CN" w:bidi="ar"/>
              </w:rPr>
              <w:t xml:space="preserve">实验桌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rPr>
                <w:rFonts w:hint="eastAsia" w:ascii="宋体" w:hAnsi="宋体" w:eastAsia="宋体" w:cs="宋体"/>
                <w:sz w:val="20"/>
                <w:szCs w:val="20"/>
                <w:lang w:val="en-US" w:eastAsia="zh-CN"/>
              </w:rPr>
              <w:t xml:space="preserve">规格：1200*600*780mm±10mm</w:t>
            </w:r>
            <w:r>
              <w:rPr>
                <w:rFonts w:hint="eastAsia" w:ascii="宋体" w:hAnsi="宋体" w:cs="宋体"/>
                <w:sz w:val="20"/>
                <w:szCs w:val="20"/>
                <w:lang w:val="en-US" w:eastAsia="zh-CN"/>
              </w:rPr>
              <w:t xml:space="preserve">；</w:t>
            </w:r>
            <w:r/>
          </w:p>
          <w:p>
            <w:pPr>
              <w:numPr>
                <w:ilvl w:val="0"/>
                <w:numId w:val="0"/>
              </w:numPr>
              <w:contextualSpacing/>
              <w:spacing w:after="0" w:line="240" w:lineRule="auto"/>
              <w:rPr>
                <w:rFonts w:hint="eastAsia" w:ascii="宋体" w:hAnsi="宋体" w:cs="宋体"/>
                <w:sz w:val="20"/>
                <w:szCs w:val="20"/>
                <w:lang w:val="en-US" w:eastAsia="zh-CN"/>
              </w:rPr>
            </w:pPr>
            <w:r>
              <w:rPr>
                <w:rFonts w:hint="eastAsia" w:ascii="宋体" w:hAnsi="宋体" w:cs="宋体"/>
                <w:sz w:val="20"/>
                <w:szCs w:val="20"/>
                <w:lang w:val="en-US" w:eastAsia="zh-CN"/>
              </w:rPr>
              <w:t xml:space="preserve">2.</w:t>
            </w:r>
            <w:r>
              <w:rPr>
                <w:rFonts w:hint="eastAsia" w:ascii="宋体" w:hAnsi="宋体" w:eastAsia="宋体" w:cs="宋体"/>
                <w:sz w:val="20"/>
                <w:szCs w:val="20"/>
                <w:lang w:val="en-US" w:eastAsia="zh-CN"/>
              </w:rPr>
              <w:t xml:space="preserve">台面：采用≥20mm厚一体成型高温烧制实验室专用陶瓷台面</w:t>
            </w:r>
            <w:r>
              <w:rPr>
                <w:rFonts w:hint="eastAsia" w:ascii="宋体" w:hAnsi="宋体" w:cs="宋体"/>
                <w:sz w:val="20"/>
                <w:szCs w:val="20"/>
                <w:lang w:val="en-US" w:eastAsia="zh-CN"/>
              </w:rPr>
              <w:t xml:space="preserve">，且参数符合如下标准：</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2.1</w:t>
            </w:r>
            <w:r>
              <w:rPr>
                <w:rFonts w:hint="eastAsia" w:ascii="宋体" w:hAnsi="宋体" w:eastAsia="宋体" w:cs="宋体"/>
                <w:sz w:val="20"/>
                <w:szCs w:val="20"/>
                <w:lang w:val="en-US" w:eastAsia="zh-CN"/>
              </w:rPr>
              <w:t xml:space="preserve">抗菌性能：大肠杆菌抗菌率≥9</w:t>
            </w:r>
            <w:r>
              <w:rPr>
                <w:rFonts w:hint="eastAsia" w:ascii="宋体" w:hAnsi="宋体" w:cs="宋体"/>
                <w:sz w:val="20"/>
                <w:szCs w:val="20"/>
                <w:lang w:val="en-US" w:eastAsia="zh-CN"/>
              </w:rPr>
              <w:t xml:space="preserve">0</w:t>
            </w:r>
            <w:r>
              <w:rPr>
                <w:rFonts w:hint="eastAsia" w:ascii="宋体" w:hAnsi="宋体" w:eastAsia="宋体" w:cs="宋体"/>
                <w:sz w:val="20"/>
                <w:szCs w:val="20"/>
                <w:lang w:val="en-US" w:eastAsia="zh-CN"/>
              </w:rPr>
              <w:t xml:space="preserve">.00%，金黄色葡萄球菌抗菌率≥9</w:t>
            </w:r>
            <w:r>
              <w:rPr>
                <w:rFonts w:hint="eastAsia" w:ascii="宋体" w:hAnsi="宋体" w:cs="宋体"/>
                <w:sz w:val="20"/>
                <w:szCs w:val="20"/>
                <w:lang w:val="en-US" w:eastAsia="zh-CN"/>
              </w:rPr>
              <w:t xml:space="preserve">0</w:t>
            </w:r>
            <w:r>
              <w:rPr>
                <w:rFonts w:hint="eastAsia" w:ascii="宋体" w:hAnsi="宋体" w:eastAsia="宋体" w:cs="宋体"/>
                <w:sz w:val="20"/>
                <w:szCs w:val="20"/>
                <w:lang w:val="en-US" w:eastAsia="zh-CN"/>
              </w:rPr>
              <w:t xml:space="preserve">.00%；</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2.2</w:t>
            </w:r>
            <w:r>
              <w:rPr>
                <w:rFonts w:hint="eastAsia" w:ascii="宋体" w:hAnsi="宋体" w:eastAsia="宋体" w:cs="宋体"/>
                <w:sz w:val="20"/>
                <w:szCs w:val="20"/>
                <w:lang w:val="en-US" w:eastAsia="zh-CN"/>
              </w:rPr>
              <w:t xml:space="preserve">耐磨性</w:t>
            </w:r>
            <w:r>
              <w:rPr>
                <w:rFonts w:hint="eastAsia" w:ascii="宋体" w:hAnsi="宋体" w:cs="宋体"/>
                <w:sz w:val="20"/>
                <w:szCs w:val="20"/>
                <w:lang w:val="en-US" w:eastAsia="zh-CN"/>
              </w:rPr>
              <w:t xml:space="preserve">能</w:t>
            </w:r>
            <w:r>
              <w:rPr>
                <w:rFonts w:hint="eastAsia" w:ascii="宋体" w:hAnsi="宋体" w:eastAsia="宋体" w:cs="宋体"/>
                <w:sz w:val="20"/>
                <w:szCs w:val="20"/>
                <w:lang w:val="en-US" w:eastAsia="zh-CN"/>
              </w:rPr>
              <w:t xml:space="preserve">：耐磨性达到</w:t>
            </w:r>
            <w:r>
              <w:rPr>
                <w:rFonts w:hint="eastAsia" w:ascii="宋体" w:hAnsi="宋体" w:cs="宋体"/>
                <w:sz w:val="20"/>
                <w:szCs w:val="20"/>
                <w:lang w:val="en-US" w:eastAsia="zh-CN"/>
              </w:rPr>
              <w:t xml:space="preserve">15</w:t>
            </w:r>
            <w:r>
              <w:rPr>
                <w:rFonts w:hint="eastAsia" w:ascii="宋体" w:hAnsi="宋体" w:eastAsia="宋体" w:cs="宋体"/>
                <w:sz w:val="20"/>
                <w:szCs w:val="20"/>
                <w:lang w:val="en-US" w:eastAsia="zh-CN"/>
              </w:rPr>
              <w:t xml:space="preserve">00转</w:t>
            </w:r>
            <w:r>
              <w:rPr>
                <w:rFonts w:hint="eastAsia" w:ascii="宋体" w:hAnsi="宋体" w:cs="宋体"/>
                <w:sz w:val="20"/>
                <w:szCs w:val="20"/>
                <w:lang w:val="en-US" w:eastAsia="zh-CN"/>
              </w:rPr>
              <w:t xml:space="preserve">，3级或</w:t>
            </w:r>
            <w:r>
              <w:rPr>
                <w:rFonts w:hint="eastAsia" w:ascii="宋体" w:hAnsi="宋体" w:eastAsia="宋体" w:cs="宋体"/>
                <w:sz w:val="20"/>
                <w:szCs w:val="20"/>
                <w:lang w:val="en-US" w:eastAsia="zh-CN"/>
              </w:rPr>
              <w:t xml:space="preserve">以上；</w:t>
            </w:r>
            <w:r/>
          </w:p>
          <w:p>
            <w:pPr>
              <w:numPr>
                <w:ilvl w:val="0"/>
                <w:numId w:val="0"/>
              </w:numPr>
              <w:contextualSpacing/>
              <w:spacing w:after="0" w:line="240" w:lineRule="auto"/>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2.3表面耐污染性能：满足不少于90种化学试剂检测，且覆盖玻璃盖板和未覆盖玻璃盖板检验结果≥4级；</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结构：新型塑铝结构,学生位镂空式，主框架字型结构：桌身：由桌腿、立柱、前横梁、中横梁、后横梁组成</w:t>
            </w:r>
            <w:r>
              <w:rPr>
                <w:rFonts w:hint="eastAsia" w:ascii="宋体" w:hAnsi="宋体" w:cs="宋体"/>
                <w:sz w:val="20"/>
                <w:szCs w:val="20"/>
                <w:lang w:val="en-US" w:eastAsia="zh-CN"/>
              </w:rPr>
              <w:t xml:space="preserve">；</w:t>
            </w:r>
            <w:r>
              <w:rPr>
                <w:rFonts w:hint="eastAsia" w:ascii="宋体" w:hAnsi="宋体" w:eastAsia="宋体" w:cs="宋体"/>
                <w:sz w:val="20"/>
                <w:szCs w:val="20"/>
                <w:lang w:val="en-US" w:eastAsia="zh-CN"/>
              </w:rPr>
              <w:br/>
            </w:r>
            <w:r>
              <w:rPr>
                <w:rFonts w:hint="eastAsia" w:ascii="宋体" w:hAnsi="宋体" w:eastAsia="宋体" w:cs="宋体"/>
                <w:sz w:val="20"/>
                <w:szCs w:val="20"/>
                <w:lang w:val="en-US" w:eastAsia="zh-CN"/>
              </w:rPr>
              <w:t xml:space="preserve">4</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主框架字型结构材质：采用工字型压铸铝一次成型，采用铝镁合金材料，</w:t>
            </w:r>
            <w:r>
              <w:rPr>
                <w:rFonts w:hint="eastAsia" w:ascii="宋体" w:hAnsi="宋体" w:cs="宋体"/>
                <w:sz w:val="20"/>
                <w:szCs w:val="20"/>
                <w:lang w:val="en-US" w:eastAsia="zh-CN"/>
              </w:rPr>
              <w:t xml:space="preserve">桌腿</w:t>
            </w:r>
            <w:r>
              <w:rPr>
                <w:rFonts w:hint="eastAsia" w:ascii="宋体" w:hAnsi="宋体" w:eastAsia="宋体" w:cs="宋体"/>
                <w:sz w:val="20"/>
                <w:szCs w:val="20"/>
                <w:lang w:val="en-US" w:eastAsia="zh-CN"/>
              </w:rPr>
              <w:t xml:space="preserve">壁厚≥3mm，材料表面经高压静电喷涂环氧树脂防护层，耐酸碱，耐腐蚀处理</w:t>
            </w:r>
            <w:r>
              <w:rPr>
                <w:rFonts w:hint="eastAsia" w:ascii="宋体" w:hAnsi="宋体" w:cs="宋体"/>
                <w:sz w:val="20"/>
                <w:szCs w:val="20"/>
                <w:lang w:val="en-US" w:eastAsia="zh-CN"/>
              </w:rPr>
              <w:t xml:space="preserve">；</w:t>
            </w:r>
            <w:r/>
          </w:p>
          <w:p>
            <w:pPr>
              <w:numPr>
                <w:ilvl w:val="0"/>
                <w:numId w:val="0"/>
              </w:numPr>
              <w:contextualSpacing/>
              <w:spacing w:after="0" w:line="240" w:lineRule="auto"/>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 xml:space="preserve">5</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书包斗：采用PP材料，需配套实验桌，模具一次性注塑成型,上面设计有可悬挂凳子的圆形孔。</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45360</w:t>
            </w:r>
            <w:r/>
          </w:p>
        </w:tc>
        <w:tc>
          <w:tcPr>
            <w:shd w:val="clear" w:color="auto" w:fill="auto"/>
            <w:tcBorders>
              <w:top w:val="single" w:color="000000" w:sz="4" w:space="0"/>
              <w:left w:val="single" w:color="000000" w:sz="4" w:space="0"/>
              <w:bottom w:val="single" w:color="auto"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23925" cy="952500"/>
                      <wp:effectExtent l="0" t="0" r="9525" b="0"/>
                      <wp:docPr id="4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0"/>
                              <pic:cNvPicPr>
                                <a:picLocks noChangeAspect="1"/>
                              </pic:cNvPicPr>
                              <pic:nvPr/>
                            </pic:nvPicPr>
                            <pic:blipFill>
                              <a:blip r:embed="rId59"/>
                              <a:stretch/>
                            </pic:blipFill>
                            <pic:spPr bwMode="auto">
                              <a:xfrm>
                                <a:off x="0" y="0"/>
                                <a:ext cx="92392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2.8pt;height:75.0pt;mso-wrap-distance-left:0.0pt;mso-wrap-distance-top:0.0pt;mso-wrap-distance-right:0.0pt;mso-wrap-distance-bottom:0.0pt;" stroked="f">
                      <v:path textboxrect="0,0,0,0"/>
                      <v:imagedata r:id="rId5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规格335mm*195mm*765mm±10mm，选用全钢结构，主体材质为≥1.0mm镀锌钢板，板材均采用≥1.0mm 的镀锌钢板，自动喷涂线喷涂环氧树脂粉末静电吸附等几道工艺制作而成，具备较强抗氧化和防腐蚀、耐酸碱功能，喷涂异化颜色，主体颜色与学生桌桌体颜色一致，让产品形象更加立体、突出，电缆线、通风管等管线均布置于箱体内部，避免管线外露，确保使用的安全。留有检修口，方便检修。</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auto"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7980 </w:t>
            </w:r>
            <w:r/>
          </w:p>
        </w:tc>
        <w:tc>
          <w:tcPr>
            <w:shd w:val="clear" w:color="auto" w:fill="auto"/>
            <w:tcBorders>
              <w:top w:val="single" w:color="auto"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895350" cy="1057275"/>
                      <wp:effectExtent l="0" t="0" r="0" b="9525"/>
                      <wp:docPr id="4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9"/>
                              <pic:cNvPicPr>
                                <a:picLocks noChangeAspect="1"/>
                              </pic:cNvPicPr>
                              <pic:nvPr/>
                            </pic:nvPicPr>
                            <pic:blipFill>
                              <a:blip r:embed="rId60"/>
                              <a:stretch/>
                            </pic:blipFill>
                            <pic:spPr bwMode="auto">
                              <a:xfrm>
                                <a:off x="0" y="0"/>
                                <a:ext cx="89535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0.5pt;height:83.2pt;mso-wrap-distance-left:0.0pt;mso-wrap-distance-top:0.0pt;mso-wrap-distance-right:0.0pt;mso-wrap-distance-bottom:0.0pt;" stroked="f">
                      <v:path textboxrect="0,0,0,0"/>
                      <v:imagedata r:id="rId60" o:title=""/>
                    </v:shape>
                  </w:pict>
                </mc:Fallback>
              </mc:AlternateConten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规格：490*585*750mm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柜体框架采用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1.0mm镀锌钢板，板材均采用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 的镀锌钢板，经酸洗磷化及环氧树脂户外粉喷涂处理，具备较强抗氧化和防腐蚀、耐酸碱承重性。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水柜门面板：采用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1.0mm冷轧钢，表面经过时效处理和纯环氧树脂塑粉高温固化处理，具有较强的耐蚀性及承重性。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水槽：采用PP改性材料，塑料注塑模一次性成型，其规格600*500*350mm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，耐强酸强碱耐＜80℃有机溶剂并耐150℃以下高温，外型简约美观。</w:t>
            </w:r>
            <w:r/>
          </w:p>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下水系统：采用PP材质专用连接管，配有防虹吸，防阻塞装置，水槽后方内置防溢水装置，防止废水外溢出台面，排水口内置一个防堵下水锥形网孔漏斗。</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24500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1290955"/>
                      <wp:effectExtent l="0" t="0" r="3810" b="4445"/>
                      <wp:docPr id="5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7"/>
                              <pic:cNvPicPr>
                                <a:picLocks noChangeAspect="1"/>
                              </pic:cNvPicPr>
                              <pic:nvPr/>
                            </pic:nvPicPr>
                            <pic:blipFill>
                              <a:blip r:embed="rId61"/>
                              <a:stretch/>
                            </pic:blipFill>
                            <pic:spPr bwMode="auto">
                              <a:xfrm>
                                <a:off x="0" y="0"/>
                                <a:ext cx="1005840" cy="129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9.2pt;height:101.6pt;mso-wrap-distance-left:0.0pt;mso-wrap-distance-top:0.0pt;mso-wrap-distance-right:0.0pt;mso-wrap-distance-bottom:0.0pt;" stroked="f">
                      <v:path textboxrect="0,0,0,0"/>
                      <v:imagedata r:id="rId6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教师台水槽</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pp规格550*450</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采用PP改性材料，塑料注塑模一次性成型，耐强酸强碱耐＜80℃有机溶剂并耐150℃以下高温，外型简约美观。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672465"/>
                      <wp:effectExtent l="0" t="0" r="4445" b="13335"/>
                      <wp:docPr id="51"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8"/>
                              <pic:cNvPicPr>
                                <a:picLocks noChangeAspect="1"/>
                              </pic:cNvPicPr>
                              <pic:nvPr/>
                            </pic:nvPicPr>
                            <pic:blipFill>
                              <a:blip r:embed="rId62"/>
                              <a:stretch/>
                            </pic:blipFill>
                            <pic:spPr bwMode="auto">
                              <a:xfrm>
                                <a:off x="0" y="0"/>
                                <a:ext cx="1005205" cy="672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9.1pt;height:52.9pt;mso-wrap-distance-left:0.0pt;mso-wrap-distance-top:0.0pt;mso-wrap-distance-right:0.0pt;mso-wrap-distance-bottom:0.0pt;" stroked="f">
                      <v:path textboxrect="0,0,0,0"/>
                      <v:imagedata r:id="rId6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用于连接地面水管及水龙头，上水管两端接头采用201不锈钢螺帽铜芯，外管是304钢丝+尼龙丝混编</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规格:直径35mm*长度500mm水槽专配型排水管，不锈钢卡扣连接，安装方便不渗漏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1.主体：加厚铜质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2.涂层：高亮度环氧树脂涂层，耐腐蚀、耐热，防紫外线辐射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3.陶瓷阀芯90°旋转，使用寿命开关50万次，静态最大耐压20巴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4.经久耐用，不会出现渗水、断裂现象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5.鹅颈管可360°旋转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893445"/>
                      <wp:effectExtent l="0" t="0" r="4445" b="1905"/>
                      <wp:docPr id="5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9"/>
                              <pic:cNvPicPr>
                                <a:picLocks noChangeAspect="1"/>
                              </pic:cNvPicPr>
                              <pic:nvPr/>
                            </pic:nvPicPr>
                            <pic:blipFill>
                              <a:blip r:embed="rId63"/>
                              <a:stretch/>
                            </pic:blipFill>
                            <pic:spPr bwMode="auto">
                              <a:xfrm>
                                <a:off x="0" y="0"/>
                                <a:ext cx="1005205" cy="893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9.1pt;height:70.3pt;mso-wrap-distance-left:0.0pt;mso-wrap-distance-top:0.0pt;mso-wrap-distance-right:0.0pt;mso-wrap-distance-bottom:0.0pt;" stroked="f">
                      <v:path textboxrect="0,0,0,0"/>
                      <v:imagedata r:id="rId6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外壳采用ABS注塑一次成型，隐蔽式防尘电源。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交直流输出0-24V,自动过载保护的学生电源有老师统一控制，具有交流220V输出五孔电源插座。</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856615"/>
                      <wp:effectExtent l="0" t="0" r="4445" b="635"/>
                      <wp:docPr id="5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0"/>
                              <pic:cNvPicPr>
                                <a:picLocks noChangeAspect="1"/>
                              </pic:cNvPicPr>
                              <pic:nvPr/>
                            </pic:nvPicPr>
                            <pic:blipFill>
                              <a:blip r:embed="rId64"/>
                              <a:stretch/>
                            </pic:blipFill>
                            <pic:spPr bwMode="auto">
                              <a:xfrm>
                                <a:off x="0" y="0"/>
                                <a:ext cx="100520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9.1pt;height:67.5pt;mso-wrap-distance-left:0.0pt;mso-wrap-distance-top:0.0pt;mso-wrap-distance-right:0.0pt;mso-wrap-distance-bottom:0.0pt;" stroked="f">
                      <v:path textboxrect="0,0,0,0"/>
                      <v:imagedata r:id="rId6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控制学生220V分四组输出，由电压表检测电压电流。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教师演示台设有安全宗电源，漏电过载保护功能。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交流220V多功能输出。</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589915"/>
                      <wp:effectExtent l="0" t="0" r="5080" b="635"/>
                      <wp:docPr id="5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1"/>
                              <pic:cNvPicPr>
                                <a:picLocks noChangeAspect="1"/>
                              </pic:cNvPicPr>
                              <pic:nvPr/>
                            </pic:nvPicPr>
                            <pic:blipFill>
                              <a:blip r:embed="rId65"/>
                              <a:stretch/>
                            </pic:blipFill>
                            <pic:spPr bwMode="auto">
                              <a:xfrm>
                                <a:off x="0" y="0"/>
                                <a:ext cx="1004570" cy="58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9.1pt;height:46.4pt;mso-wrap-distance-left:0.0pt;mso-wrap-distance-top:0.0pt;mso-wrap-distance-right:0.0pt;mso-wrap-distance-bottom:0.0pt;" stroked="f">
                      <v:path textboxrect="0,0,0,0"/>
                      <v:imagedata r:id="rId6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规格:315*420-</w:t>
            </w:r>
            <w:r>
              <w:rPr>
                <w:rFonts w:hint="eastAsia" w:ascii="宋体" w:hAnsi="宋体" w:cs="宋体"/>
                <w:i w:val="0"/>
                <w:iCs w:val="0"/>
                <w:color w:val="000000"/>
                <w:sz w:val="20"/>
                <w:szCs w:val="20"/>
                <w:u w:val="none"/>
                <w:lang w:val="en-US" w:eastAsia="zh-CN" w:bidi="ar"/>
              </w:rPr>
              <w:t xml:space="preserve">480mm±10mm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凳脚材质:4个凳脚采用20*40*</w:t>
            </w:r>
            <w:r>
              <w:rPr>
                <w:rFonts w:hint="eastAsia" w:ascii="宋体" w:hAnsi="宋体" w:cs="宋体"/>
                <w:i w:val="0"/>
                <w:iCs w:val="0"/>
                <w:color w:val="000000"/>
                <w:sz w:val="20"/>
                <w:szCs w:val="20"/>
                <w:u w:val="none"/>
                <w:lang w:val="en-US" w:eastAsia="zh-CN" w:bidi="ar"/>
              </w:rPr>
              <w:t xml:space="preserve">1.1mm</w:t>
            </w:r>
            <w:r>
              <w:rPr>
                <w:rFonts w:hint="eastAsia" w:ascii="宋体" w:hAnsi="宋体" w:eastAsia="宋体" w:cs="宋体"/>
                <w:i w:val="0"/>
                <w:iCs w:val="0"/>
                <w:color w:val="000000"/>
                <w:sz w:val="20"/>
                <w:szCs w:val="20"/>
                <w:u w:val="none"/>
                <w:lang w:val="en-US" w:eastAsia="zh-CN" w:bidi="ar"/>
              </w:rPr>
              <w:t xml:space="preserve">椭圆形无缝钢管模具一次成型,全圆满焊完成,结构牢固,经高温粉体烤漆处理,长时间使用也不会产生表面烤漆剥落现象；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凳面:凳面直径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采用环保型PP改性塑料一次性注塑成型;凳面表面有颗粒状凸起起到按摩作用；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托盘:凳面下装有直径大于</w:t>
            </w:r>
            <w:r>
              <w:rPr>
                <w:rFonts w:hint="eastAsia" w:ascii="宋体" w:hAnsi="宋体" w:cs="宋体"/>
                <w:i w:val="0"/>
                <w:iCs w:val="0"/>
                <w:color w:val="000000"/>
                <w:sz w:val="20"/>
                <w:szCs w:val="20"/>
                <w:u w:val="none"/>
                <w:lang w:val="en-US" w:eastAsia="zh-CN" w:bidi="ar"/>
              </w:rPr>
              <w:t xml:space="preserve">156mm</w:t>
            </w:r>
            <w:r>
              <w:rPr>
                <w:rFonts w:hint="eastAsia" w:ascii="宋体" w:hAnsi="宋体" w:eastAsia="宋体" w:cs="宋体"/>
                <w:i w:val="0"/>
                <w:iCs w:val="0"/>
                <w:color w:val="000000"/>
                <w:sz w:val="20"/>
                <w:szCs w:val="20"/>
                <w:u w:val="none"/>
                <w:lang w:val="en-US" w:eastAsia="zh-CN" w:bidi="ar"/>
              </w:rPr>
              <w:t xml:space="preserve">的托盘,厚度不小于</w:t>
            </w:r>
            <w:r>
              <w:rPr>
                <w:rFonts w:hint="eastAsia" w:ascii="宋体" w:hAnsi="宋体" w:cs="宋体"/>
                <w:i w:val="0"/>
                <w:iCs w:val="0"/>
                <w:color w:val="000000"/>
                <w:sz w:val="20"/>
                <w:szCs w:val="20"/>
                <w:u w:val="none"/>
                <w:lang w:val="en-US" w:eastAsia="zh-CN" w:bidi="ar"/>
              </w:rPr>
              <w:t xml:space="preserve">1.4mm</w:t>
            </w:r>
            <w:r>
              <w:rPr>
                <w:rFonts w:hint="eastAsia" w:ascii="宋体" w:hAnsi="宋体" w:eastAsia="宋体" w:cs="宋体"/>
                <w:i w:val="0"/>
                <w:iCs w:val="0"/>
                <w:color w:val="000000"/>
                <w:sz w:val="20"/>
                <w:szCs w:val="20"/>
                <w:u w:val="none"/>
                <w:lang w:val="en-US" w:eastAsia="zh-CN" w:bidi="ar"/>
              </w:rPr>
              <w:t xml:space="preserve">；</w:t>
            </w:r>
            <w:r/>
          </w:p>
          <w:p>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1233805"/>
                      <wp:effectExtent l="0" t="0" r="3810" b="4445"/>
                      <wp:docPr id="55"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2"/>
                              <pic:cNvPicPr>
                                <a:picLocks noChangeAspect="1"/>
                              </pic:cNvPicPr>
                              <pic:nvPr/>
                            </pic:nvPicPr>
                            <pic:blipFill>
                              <a:blip r:embed="rId66"/>
                              <a:stretch/>
                            </pic:blipFill>
                            <pic:spPr bwMode="auto">
                              <a:xfrm>
                                <a:off x="0" y="0"/>
                                <a:ext cx="1005840" cy="1233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9.2pt;height:97.1pt;mso-wrap-distance-left:0.0pt;mso-wrap-distance-top:0.0pt;mso-wrap-distance-right:0.0pt;mso-wrap-distance-bottom:0.0pt;" stroked="f">
                      <v:path textboxrect="0,0,0,0"/>
                      <v:imagedata r:id="rId66" o:title=""/>
                    </v:shape>
                  </w:pict>
                </mc:Fallback>
              </mc:AlternateConten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离心风机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6#离心风机</w:t>
            </w:r>
            <w:r>
              <w:rPr>
                <w:rFonts w:hint="eastAsia" w:ascii="宋体" w:hAnsi="宋体" w:cs="宋体"/>
                <w:i w:val="0"/>
                <w:iCs w:val="0"/>
                <w:color w:val="000000"/>
                <w:sz w:val="20"/>
                <w:szCs w:val="20"/>
                <w:u w:val="none"/>
                <w:lang w:val="en-US" w:eastAsia="zh-CN" w:bidi="ar"/>
              </w:rPr>
              <w:t xml:space="preserve">，电压：380V，功率：</w:t>
            </w:r>
            <w:r>
              <w:rPr>
                <w:rFonts w:hint="eastAsia" w:ascii="宋体" w:hAnsi="宋体" w:eastAsia="宋体" w:cs="宋体"/>
                <w:i w:val="0"/>
                <w:iCs w:val="0"/>
                <w:color w:val="000000"/>
                <w:sz w:val="20"/>
                <w:szCs w:val="20"/>
                <w:u w:val="none"/>
                <w:lang w:val="en-US" w:eastAsia="zh-CN" w:bidi="ar"/>
              </w:rPr>
              <w:t xml:space="preserve">5.5KW，转速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1450r/min，流量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10602-21204M3/h，全压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1150-748Pa,风机外壳和叶轮均采用模具一次成型。配橡胶减震器用于消除专用通风机引起的震动，配防雨帽，PP材</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质，主要用于对专用通风机的防护。</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812165"/>
                      <wp:effectExtent l="0" t="0" r="5080" b="6985"/>
                      <wp:docPr id="5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3"/>
                              <pic:cNvPicPr>
                                <a:picLocks noChangeAspect="1"/>
                              </pic:cNvPicPr>
                              <pic:nvPr/>
                            </pic:nvPicPr>
                            <pic:blipFill>
                              <a:blip r:embed="rId67"/>
                              <a:stretch/>
                            </pic:blipFill>
                            <pic:spPr bwMode="auto">
                              <a:xfrm>
                                <a:off x="0" y="0"/>
                                <a:ext cx="1004570" cy="81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9.1pt;height:63.9pt;mso-wrap-distance-left:0.0pt;mso-wrap-distance-top:0.0pt;mso-wrap-distance-right:0.0pt;mso-wrap-distance-bottom:0.0pt;" stroked="f">
                      <v:path textboxrect="0,0,0,0"/>
                      <v:imagedata r:id="rId6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φ400*1000mm,PP材质，内置隔音棉等隔音装置，确保通风室外噪音小于50分贝。</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风机软连接</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φ600-φ400mm,pp材质。进出口接头采用柔性材质，消除因震动引起的微量错位对风机的影响。</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采用电流无感矢量控制，型号：380V/5.5KW，额定电压：380V+15%，频率：50-60HZ。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552450" cy="703580"/>
                      <wp:effectExtent l="0" t="0" r="0" b="1270"/>
                      <wp:docPr id="5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6"/>
                              <pic:cNvPicPr>
                                <a:picLocks noChangeAspect="1"/>
                              </pic:cNvPicPr>
                              <pic:nvPr/>
                            </pic:nvPicPr>
                            <pic:blipFill>
                              <a:blip r:embed="rId68"/>
                              <a:stretch/>
                            </pic:blipFill>
                            <pic:spPr bwMode="auto">
                              <a:xfrm>
                                <a:off x="0" y="0"/>
                                <a:ext cx="552450"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3.5pt;height:55.4pt;mso-wrap-distance-left:0.0pt;mso-wrap-distance-top:0.0pt;mso-wrap-distance-right:0.0pt;mso-wrap-distance-bottom:0.0pt;" stroked="f">
                      <v:path textboxrect="0,0,0,0"/>
                      <v:imagedata r:id="rId68"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90600" cy="857250"/>
                      <wp:effectExtent l="0" t="0" r="0" b="0"/>
                      <wp:docPr id="5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4"/>
                              <pic:cNvPicPr>
                                <a:picLocks noChangeAspect="1"/>
                              </pic:cNvPicPr>
                              <pic:nvPr/>
                            </pic:nvPicPr>
                            <pic:blipFill>
                              <a:blip r:embed="rId69"/>
                              <a:stretch/>
                            </pic:blipFill>
                            <pic:spPr bwMode="auto">
                              <a:xfrm>
                                <a:off x="0" y="0"/>
                                <a:ext cx="99060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8.0pt;height:67.5pt;mso-wrap-distance-left:0.0pt;mso-wrap-distance-top:0.0pt;mso-wrap-distance-right:0.0pt;mso-wrap-distance-bottom:0.0pt;" stroked="f">
                      <v:path textboxrect="0,0,0,0"/>
                      <v:imagedata r:id="rId6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关节：可360度旋转调节方向，易拆卸、重组及清洗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关节密封圈：不易老化之高密度橡胶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关节弹簧装置：防下垂、下滑、松动.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关节松紧旋钮：高密度PP材质，内嵌不锈钢轴承，与关节连接杆锁合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气流调节阀：手动调节外部阀门旋钮，控制进入之气流量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拱型/杯型集气罩：高密度PP/PC材质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固定底座：非粘接而成，模具注塑一体成型，牢度强，不脱底</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47850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090930"/>
                      <wp:effectExtent l="0" t="0" r="4445" b="13970"/>
                      <wp:docPr id="5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5"/>
                              <pic:cNvPicPr>
                                <a:picLocks noChangeAspect="1"/>
                              </pic:cNvPicPr>
                              <pic:nvPr/>
                            </pic:nvPicPr>
                            <pic:blipFill>
                              <a:blip r:embed="rId70"/>
                              <a:stretch/>
                            </pic:blipFill>
                            <pic:spPr bwMode="auto">
                              <a:xfrm>
                                <a:off x="0" y="0"/>
                                <a:ext cx="1005205"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9.1pt;height:85.9pt;mso-wrap-distance-left:0.0pt;mso-wrap-distance-top:0.0pt;mso-wrap-distance-right:0.0pt;mso-wrap-distance-bottom:0.0pt;" stroked="f">
                      <v:path textboxrect="0,0,0,0"/>
                      <v:imagedata r:id="rId7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室内风管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室内风管采用直径为200mmPVC管路系统或者采用PP焊接管路系统</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室外风管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室外风管采用直径为400mmPVC管路系统或者采用PP焊接管路系统</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三相电缆、含线路管道</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38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56座生化数字化实验室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钢木</w:t>
            </w:r>
            <w:r>
              <w:rPr>
                <w:rFonts w:hint="eastAsia" w:ascii="宋体" w:hAnsi="宋体" w:eastAsia="宋体" w:cs="宋体"/>
                <w:i w:val="0"/>
                <w:iCs w:val="0"/>
                <w:color w:val="auto"/>
                <w:sz w:val="20"/>
                <w:szCs w:val="20"/>
                <w:u w:val="none"/>
                <w:lang w:val="en-US" w:eastAsia="zh-CN" w:bidi="ar"/>
              </w:rPr>
              <w:t xml:space="preserve">教师桌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sz w:val="20"/>
                <w:szCs w:val="18"/>
              </w:rPr>
            </w:pPr>
            <w:r>
              <w:rPr>
                <w:rFonts w:hint="eastAsia" w:ascii="宋体" w:hAnsi="宋体" w:eastAsia="宋体" w:cs="宋体"/>
                <w:sz w:val="20"/>
                <w:szCs w:val="18"/>
              </w:rPr>
              <w:t xml:space="preserve">1.规格：2400×700×850mm±10mm；</w:t>
            </w:r>
            <w:r/>
          </w:p>
          <w:p>
            <w:pPr>
              <w:rPr>
                <w:rFonts w:hint="eastAsia" w:ascii="宋体" w:hAnsi="宋体" w:eastAsia="宋体" w:cs="宋体"/>
                <w:sz w:val="20"/>
                <w:szCs w:val="18"/>
                <w:lang w:eastAsia="zh-CN"/>
              </w:rPr>
            </w:pPr>
            <w:r>
              <w:rPr>
                <w:rFonts w:hint="eastAsia" w:ascii="宋体" w:hAnsi="宋体" w:eastAsia="宋体" w:cs="宋体"/>
                <w:sz w:val="20"/>
                <w:szCs w:val="18"/>
              </w:rPr>
              <w:t xml:space="preserve">2.台面：采用≥12.7mm厚双面膜实芯理化板</w:t>
            </w:r>
            <w:r>
              <w:rPr>
                <w:rFonts w:hint="eastAsia" w:ascii="宋体" w:hAnsi="宋体" w:cs="宋体"/>
                <w:sz w:val="20"/>
                <w:szCs w:val="18"/>
                <w:lang w:eastAsia="zh-CN"/>
              </w:rPr>
              <w:t xml:space="preserve">，且需符合以下参数：</w:t>
            </w:r>
            <w:r/>
          </w:p>
          <w:p>
            <w:pPr>
              <w:rPr>
                <w:rFonts w:hint="default" w:ascii="宋体" w:hAnsi="宋体" w:eastAsia="宋体" w:cs="宋体"/>
                <w:sz w:val="20"/>
                <w:szCs w:val="18"/>
                <w:lang w:val="en-US" w:eastAsia="zh-CN"/>
              </w:rPr>
            </w:pPr>
            <w:r>
              <w:rPr>
                <w:rFonts w:hint="eastAsia" w:ascii="宋体" w:hAnsi="宋体" w:cs="宋体"/>
                <w:sz w:val="20"/>
                <w:szCs w:val="18"/>
                <w:lang w:val="en-US" w:eastAsia="zh-CN"/>
              </w:rPr>
              <w:t xml:space="preserve">2.1耐磨和耐划性能：①耐磨性能：≥1000r，未出现磨损点；②表面耐划性能：在≥2.0N作用下，表面无大于90%的连续划痕，表面装饰花纹无破坏现象。</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2.3</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2.4</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rPr>
                <w:rFonts w:hint="eastAsia" w:ascii="宋体" w:hAnsi="宋体" w:eastAsia="宋体" w:cs="宋体"/>
                <w:sz w:val="20"/>
                <w:szCs w:val="18"/>
              </w:rPr>
            </w:pPr>
            <w:r>
              <w:rPr>
                <w:rFonts w:hint="eastAsia" w:ascii="宋体" w:hAnsi="宋体" w:eastAsia="宋体" w:cs="宋体"/>
                <w:sz w:val="20"/>
                <w:szCs w:val="18"/>
              </w:rPr>
              <w:t xml:space="preserve">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r/>
          </w:p>
          <w:p>
            <w:pPr>
              <w:rPr>
                <w:rFonts w:hint="eastAsia" w:ascii="宋体" w:hAnsi="宋体" w:eastAsia="宋体" w:cs="宋体"/>
                <w:sz w:val="20"/>
                <w:szCs w:val="18"/>
              </w:rPr>
            </w:pPr>
            <w:r>
              <w:rPr>
                <w:rFonts w:hint="eastAsia" w:ascii="宋体" w:hAnsi="宋体" w:eastAsia="宋体" w:cs="宋体"/>
                <w:sz w:val="20"/>
                <w:szCs w:val="18"/>
              </w:rPr>
              <w:t xml:space="preserve">4.门铰：采用阻尼铰链。自闭式，与柜体面水平角度&lt;15度时，柜门即可自行关闭，使用过程中无噪音，可开关十万次。</w:t>
            </w:r>
            <w:r/>
          </w:p>
          <w:p>
            <w:pPr>
              <w:rPr>
                <w:rFonts w:hint="eastAsia" w:ascii="宋体" w:hAnsi="宋体" w:eastAsia="宋体" w:cs="宋体"/>
                <w:sz w:val="20"/>
                <w:szCs w:val="18"/>
              </w:rPr>
            </w:pPr>
            <w:r>
              <w:rPr>
                <w:rFonts w:hint="eastAsia" w:ascii="宋体" w:hAnsi="宋体" w:eastAsia="宋体" w:cs="宋体"/>
                <w:sz w:val="20"/>
                <w:szCs w:val="18"/>
              </w:rPr>
              <w:t xml:space="preserve">5.滑轨：采用阻尼三节滑轨。</w:t>
            </w:r>
            <w:r/>
          </w:p>
          <w:p>
            <w:pPr>
              <w:rPr>
                <w:rFonts w:hint="eastAsia" w:ascii="宋体" w:hAnsi="宋体" w:eastAsia="宋体" w:cs="宋体"/>
                <w:sz w:val="20"/>
                <w:szCs w:val="18"/>
              </w:rPr>
            </w:pPr>
            <w:r>
              <w:rPr>
                <w:rFonts w:hint="eastAsia" w:ascii="宋体" w:hAnsi="宋体" w:eastAsia="宋体" w:cs="宋体"/>
                <w:sz w:val="20"/>
                <w:szCs w:val="18"/>
              </w:rPr>
              <w:t xml:space="preserve">6.手抽:一字型，表面有光滑防腐涂层。</w:t>
            </w:r>
            <w:r/>
          </w:p>
          <w:p>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 xml:space="preserve">7.固定脚：采用ABS工程塑料模具成型制作而成，具有高度可调、耐磨、防潮、耐腐蚀等特点。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2665" cy="844550"/>
                      <wp:effectExtent l="0" t="0" r="6985" b="12700"/>
                      <wp:docPr id="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r/>
                            </pic:nvPicPr>
                            <pic:blipFill>
                              <a:blip r:embed="rId58"/>
                              <a:stretch/>
                            </pic:blipFill>
                            <pic:spPr bwMode="auto">
                              <a:xfrm>
                                <a:off x="0" y="0"/>
                                <a:ext cx="1002665" cy="844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9.0pt;height:66.5pt;mso-wrap-distance-left:0.0pt;mso-wrap-distance-top:0.0pt;mso-wrap-distance-right:0.0pt;mso-wrap-distance-bottom:0.0pt;" stroked="f">
                      <v:path textboxrect="0,0,0,0"/>
                      <v:imagedata r:id="rId58"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探究实验桌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规格：1200*1200*780mm±10mm</w:t>
            </w:r>
            <w:r>
              <w:rPr>
                <w:rFonts w:hint="eastAsia" w:ascii="宋体" w:hAnsi="宋体" w:cs="宋体"/>
                <w:sz w:val="20"/>
                <w:szCs w:val="20"/>
                <w:lang w:val="en-US" w:eastAsia="zh-CN"/>
              </w:rPr>
              <w:t xml:space="preserve">；</w:t>
            </w:r>
            <w:r/>
          </w:p>
          <w:p>
            <w:pPr>
              <w:numPr>
                <w:ilvl w:val="0"/>
                <w:numId w:val="0"/>
              </w:numPr>
              <w:contextualSpacing/>
              <w:spacing w:after="0" w:line="240" w:lineRule="auto"/>
              <w:rPr>
                <w:rFonts w:hint="eastAsia" w:ascii="宋体" w:hAnsi="宋体" w:cs="宋体"/>
                <w:sz w:val="20"/>
                <w:szCs w:val="20"/>
                <w:lang w:val="en-US" w:eastAsia="zh-CN"/>
              </w:rPr>
            </w:pPr>
            <w:r>
              <w:rPr>
                <w:rFonts w:hint="eastAsia" w:ascii="宋体" w:hAnsi="宋体" w:cs="宋体"/>
                <w:sz w:val="20"/>
                <w:szCs w:val="20"/>
                <w:lang w:val="en-US" w:eastAsia="zh-CN"/>
              </w:rPr>
              <w:t xml:space="preserve">2.</w:t>
            </w:r>
            <w:r>
              <w:rPr>
                <w:rFonts w:hint="eastAsia" w:ascii="宋体" w:hAnsi="宋体" w:eastAsia="宋体" w:cs="宋体"/>
                <w:sz w:val="20"/>
                <w:szCs w:val="20"/>
                <w:lang w:val="en-US" w:eastAsia="zh-CN"/>
              </w:rPr>
              <w:t xml:space="preserve">台面：采用≥20mm厚一体成型高温烧制实验室专用陶瓷台面</w:t>
            </w:r>
            <w:r>
              <w:rPr>
                <w:rFonts w:hint="eastAsia" w:ascii="宋体" w:hAnsi="宋体" w:cs="宋体"/>
                <w:sz w:val="20"/>
                <w:szCs w:val="20"/>
                <w:lang w:val="en-US" w:eastAsia="zh-CN"/>
              </w:rPr>
              <w:t xml:space="preserve">，且参数符合如下标准：</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2.1</w:t>
            </w:r>
            <w:r>
              <w:rPr>
                <w:rFonts w:hint="eastAsia" w:ascii="宋体" w:hAnsi="宋体" w:eastAsia="宋体" w:cs="宋体"/>
                <w:sz w:val="20"/>
                <w:szCs w:val="20"/>
                <w:lang w:val="en-US" w:eastAsia="zh-CN"/>
              </w:rPr>
              <w:t xml:space="preserve">抗菌性能：大肠杆菌抗菌率≥9</w:t>
            </w:r>
            <w:r>
              <w:rPr>
                <w:rFonts w:hint="eastAsia" w:ascii="宋体" w:hAnsi="宋体" w:cs="宋体"/>
                <w:sz w:val="20"/>
                <w:szCs w:val="20"/>
                <w:lang w:val="en-US" w:eastAsia="zh-CN"/>
              </w:rPr>
              <w:t xml:space="preserve">0</w:t>
            </w:r>
            <w:r>
              <w:rPr>
                <w:rFonts w:hint="eastAsia" w:ascii="宋体" w:hAnsi="宋体" w:eastAsia="宋体" w:cs="宋体"/>
                <w:sz w:val="20"/>
                <w:szCs w:val="20"/>
                <w:lang w:val="en-US" w:eastAsia="zh-CN"/>
              </w:rPr>
              <w:t xml:space="preserve">.00%，金黄色葡萄球菌抗菌率≥9</w:t>
            </w:r>
            <w:r>
              <w:rPr>
                <w:rFonts w:hint="eastAsia" w:ascii="宋体" w:hAnsi="宋体" w:cs="宋体"/>
                <w:sz w:val="20"/>
                <w:szCs w:val="20"/>
                <w:lang w:val="en-US" w:eastAsia="zh-CN"/>
              </w:rPr>
              <w:t xml:space="preserve">0</w:t>
            </w:r>
            <w:r>
              <w:rPr>
                <w:rFonts w:hint="eastAsia" w:ascii="宋体" w:hAnsi="宋体" w:eastAsia="宋体" w:cs="宋体"/>
                <w:sz w:val="20"/>
                <w:szCs w:val="20"/>
                <w:lang w:val="en-US" w:eastAsia="zh-CN"/>
              </w:rPr>
              <w:t xml:space="preserve">.00%；</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2.2</w:t>
            </w:r>
            <w:r>
              <w:rPr>
                <w:rFonts w:hint="eastAsia" w:ascii="宋体" w:hAnsi="宋体" w:eastAsia="宋体" w:cs="宋体"/>
                <w:sz w:val="20"/>
                <w:szCs w:val="20"/>
                <w:lang w:val="en-US" w:eastAsia="zh-CN"/>
              </w:rPr>
              <w:t xml:space="preserve">耐磨性</w:t>
            </w:r>
            <w:r>
              <w:rPr>
                <w:rFonts w:hint="eastAsia" w:ascii="宋体" w:hAnsi="宋体" w:cs="宋体"/>
                <w:sz w:val="20"/>
                <w:szCs w:val="20"/>
                <w:lang w:val="en-US" w:eastAsia="zh-CN"/>
              </w:rPr>
              <w:t xml:space="preserve">能</w:t>
            </w:r>
            <w:r>
              <w:rPr>
                <w:rFonts w:hint="eastAsia" w:ascii="宋体" w:hAnsi="宋体" w:eastAsia="宋体" w:cs="宋体"/>
                <w:sz w:val="20"/>
                <w:szCs w:val="20"/>
                <w:lang w:val="en-US" w:eastAsia="zh-CN"/>
              </w:rPr>
              <w:t xml:space="preserve">：耐磨性达到</w:t>
            </w:r>
            <w:r>
              <w:rPr>
                <w:rFonts w:hint="eastAsia" w:ascii="宋体" w:hAnsi="宋体" w:cs="宋体"/>
                <w:sz w:val="20"/>
                <w:szCs w:val="20"/>
                <w:lang w:val="en-US" w:eastAsia="zh-CN"/>
              </w:rPr>
              <w:t xml:space="preserve">15</w:t>
            </w:r>
            <w:r>
              <w:rPr>
                <w:rFonts w:hint="eastAsia" w:ascii="宋体" w:hAnsi="宋体" w:eastAsia="宋体" w:cs="宋体"/>
                <w:sz w:val="20"/>
                <w:szCs w:val="20"/>
                <w:lang w:val="en-US" w:eastAsia="zh-CN"/>
              </w:rPr>
              <w:t xml:space="preserve">00转</w:t>
            </w:r>
            <w:r>
              <w:rPr>
                <w:rFonts w:hint="eastAsia" w:ascii="宋体" w:hAnsi="宋体" w:cs="宋体"/>
                <w:sz w:val="20"/>
                <w:szCs w:val="20"/>
                <w:lang w:val="en-US" w:eastAsia="zh-CN"/>
              </w:rPr>
              <w:t xml:space="preserve">，3级或</w:t>
            </w:r>
            <w:r>
              <w:rPr>
                <w:rFonts w:hint="eastAsia" w:ascii="宋体" w:hAnsi="宋体" w:eastAsia="宋体" w:cs="宋体"/>
                <w:sz w:val="20"/>
                <w:szCs w:val="20"/>
                <w:lang w:val="en-US" w:eastAsia="zh-CN"/>
              </w:rPr>
              <w:t xml:space="preserve">以上；</w:t>
            </w:r>
            <w:r/>
          </w:p>
          <w:p>
            <w:pPr>
              <w:numPr>
                <w:ilvl w:val="0"/>
                <w:numId w:val="0"/>
              </w:numPr>
              <w:contextualSpacing/>
              <w:spacing w:after="0" w:line="240" w:lineRule="auto"/>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2.3表面耐污染性能：满足不少于90种化学试剂检测，且覆盖玻璃盖板和未覆盖玻璃盖板检验结果≥4级；</w:t>
            </w:r>
            <w:r/>
          </w:p>
          <w:p>
            <w:pPr>
              <w:numPr>
                <w:ilvl w:val="0"/>
                <w:numId w:val="0"/>
              </w:numPr>
              <w:contextualSpacing/>
              <w:spacing w:after="0" w:line="24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结构：新型塑铝结构,学生位镂空式，主框架字型结构：桌身：由桌腿、立柱、前横梁、中横梁、后横梁组成</w:t>
            </w:r>
            <w:r>
              <w:rPr>
                <w:rFonts w:hint="eastAsia" w:ascii="宋体" w:hAnsi="宋体" w:cs="宋体"/>
                <w:sz w:val="20"/>
                <w:szCs w:val="20"/>
                <w:lang w:val="en-US" w:eastAsia="zh-CN"/>
              </w:rPr>
              <w:t xml:space="preserve">；</w:t>
            </w:r>
            <w:r>
              <w:rPr>
                <w:rFonts w:hint="eastAsia" w:ascii="宋体" w:hAnsi="宋体" w:eastAsia="宋体" w:cs="宋体"/>
                <w:sz w:val="20"/>
                <w:szCs w:val="20"/>
                <w:lang w:val="en-US" w:eastAsia="zh-CN"/>
              </w:rPr>
              <w:br/>
            </w:r>
            <w:r>
              <w:rPr>
                <w:rFonts w:hint="eastAsia" w:ascii="宋体" w:hAnsi="宋体" w:eastAsia="宋体" w:cs="宋体"/>
                <w:sz w:val="20"/>
                <w:szCs w:val="20"/>
                <w:lang w:val="en-US" w:eastAsia="zh-CN"/>
              </w:rPr>
              <w:t xml:space="preserve">4</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主框架字型结构材质：采用工字型压铸铝一次成型，采用铝镁合金材料，</w:t>
            </w:r>
            <w:r>
              <w:rPr>
                <w:rFonts w:hint="eastAsia" w:ascii="宋体" w:hAnsi="宋体" w:cs="宋体"/>
                <w:sz w:val="20"/>
                <w:szCs w:val="20"/>
                <w:lang w:val="en-US" w:eastAsia="zh-CN"/>
              </w:rPr>
              <w:t xml:space="preserve">桌腿</w:t>
            </w:r>
            <w:r>
              <w:rPr>
                <w:rFonts w:hint="eastAsia" w:ascii="宋体" w:hAnsi="宋体" w:eastAsia="宋体" w:cs="宋体"/>
                <w:sz w:val="20"/>
                <w:szCs w:val="20"/>
                <w:lang w:val="en-US" w:eastAsia="zh-CN"/>
              </w:rPr>
              <w:t xml:space="preserve">壁厚≥3mm，材料表面经高压静电喷涂环氧树脂防护层，耐酸碱，耐腐蚀处理</w:t>
            </w:r>
            <w:r>
              <w:rPr>
                <w:rFonts w:hint="eastAsia" w:ascii="宋体" w:hAnsi="宋体" w:cs="宋体"/>
                <w:sz w:val="20"/>
                <w:szCs w:val="20"/>
                <w:lang w:val="en-US"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sz w:val="20"/>
                <w:szCs w:val="20"/>
                <w:lang w:val="en-US" w:eastAsia="zh-CN"/>
              </w:rPr>
              <w:t xml:space="preserve">5</w:t>
            </w:r>
            <w:r>
              <w:rPr>
                <w:rFonts w:hint="eastAsia" w:ascii="宋体" w:hAnsi="宋体" w:eastAsia="宋体" w:cs="宋体"/>
                <w:sz w:val="20"/>
                <w:szCs w:val="18"/>
              </w:rPr>
              <w:t xml:space="preserve">.</w:t>
            </w:r>
            <w:r>
              <w:rPr>
                <w:rFonts w:hint="eastAsia" w:ascii="宋体" w:hAnsi="宋体" w:eastAsia="宋体" w:cs="宋体"/>
                <w:sz w:val="20"/>
                <w:szCs w:val="20"/>
                <w:lang w:val="en-US" w:eastAsia="zh-CN"/>
              </w:rPr>
              <w:t xml:space="preserve">书包斗：采用PP材料，需配套实验桌，模具一次性注塑成型,上面设计有可悬挂凳子的圆形孔。</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46200</w:t>
            </w: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auto"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861060" cy="795655"/>
                      <wp:effectExtent l="0" t="0" r="15240" b="4445"/>
                      <wp:docPr id="61"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7"/>
                              <pic:cNvPicPr>
                                <a:picLocks noChangeAspect="1"/>
                              </pic:cNvPicPr>
                              <pic:nvPr/>
                            </pic:nvPicPr>
                            <pic:blipFill>
                              <a:blip r:embed="rId71"/>
                              <a:stretch/>
                            </pic:blipFill>
                            <pic:spPr bwMode="auto">
                              <a:xfrm>
                                <a:off x="0" y="0"/>
                                <a:ext cx="861060" cy="79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7.8pt;height:62.6pt;mso-wrap-distance-left:0.0pt;mso-wrap-distance-top:0.0pt;mso-wrap-distance-right:0.0pt;mso-wrap-distance-bottom:0.0pt;" stroked="f">
                      <v:path textboxrect="0,0,0,0"/>
                      <v:imagedata r:id="rId7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规格335mm*195mm*765mm±10mm，选用全钢结构，主体材质为≥1.0mm镀锌钢板，板材均采用≥1.0mm 的镀锌钢板，自动喷涂线喷涂环氧树脂粉末静电吸附等几道工艺制作而成，具备较强抗氧化和防腐蚀、耐酸碱功能，喷涂异化颜色，主体颜色与学生桌桌体颜色一致，让产品形象更加立体、突出，电缆线、通风管等管线均布置于箱体内部，避免管线外露，确保使用的安全。留有检修口，方便检修。</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auto"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3990 </w:t>
            </w:r>
            <w:r/>
          </w:p>
        </w:tc>
        <w:tc>
          <w:tcPr>
            <w:shd w:val="clear" w:color="auto" w:fill="auto"/>
            <w:tcBorders>
              <w:top w:val="single" w:color="auto"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036955"/>
                      <wp:effectExtent l="0" t="0" r="4445" b="10795"/>
                      <wp:docPr id="62"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8"/>
                              <pic:cNvPicPr>
                                <a:picLocks noChangeAspect="1"/>
                              </pic:cNvPicPr>
                              <pic:nvPr/>
                            </pic:nvPicPr>
                            <pic:blipFill>
                              <a:blip r:embed="rId72"/>
                              <a:stretch/>
                            </pic:blipFill>
                            <pic:spPr bwMode="auto">
                              <a:xfrm>
                                <a:off x="0" y="0"/>
                                <a:ext cx="1005205" cy="1036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9.1pt;height:81.6pt;mso-wrap-distance-left:0.0pt;mso-wrap-distance-top:0.0pt;mso-wrap-distance-right:0.0pt;mso-wrap-distance-bottom:0.0pt;" stroked="f">
                      <v:path textboxrect="0,0,0,0"/>
                      <v:imagedata r:id="rId72"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规格：490*585*750mm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柜体框架采用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1.0mm镀锌钢板，板材均采用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 的镀锌钢板，经酸洗磷化及环氧树脂户外粉喷涂处理，具备较强抗氧化和防腐蚀、耐酸碱承重性。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水柜门面板：采用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1.0mm冷轧钢，表面经过时效处理和纯环氧树脂塑粉高温固化处理，具有较强的耐蚀性及承重性。</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水槽：采用PP改性材料，塑料注塑模一次性成型，其规格600*500*350mm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，耐强酸强碱耐＜80℃有机溶剂并耐150℃以下高温，外型简约美观。</w:t>
            </w:r>
            <w:r/>
          </w:p>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下水系统：采用PP材质专用连接管，配有防虹吸，防阻塞装置，水槽后方内置防溢水装置，防止废水外溢出台面，排水口内置一个防堵下水锥形网孔漏斗。</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33450" cy="1695450"/>
                      <wp:effectExtent l="0" t="0" r="0" b="0"/>
                      <wp:docPr id="6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7"/>
                              <pic:cNvPicPr>
                                <a:picLocks noChangeAspect="1"/>
                              </pic:cNvPicPr>
                              <pic:nvPr/>
                            </pic:nvPicPr>
                            <pic:blipFill>
                              <a:blip r:embed="rId73"/>
                              <a:stretch/>
                            </pic:blipFill>
                            <pic:spPr bwMode="auto">
                              <a:xfrm>
                                <a:off x="0" y="0"/>
                                <a:ext cx="933450" cy="169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3.5pt;height:133.5pt;mso-wrap-distance-left:0.0pt;mso-wrap-distance-top:0.0pt;mso-wrap-distance-right:0.0pt;mso-wrap-distance-bottom:0.0pt;" stroked="f">
                      <v:path textboxrect="0,0,0,0"/>
                      <v:imagedata r:id="rId7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教师台水槽</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pp规格550*450</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采用PP改性材料，塑料注塑模一次性成型，耐强酸强碱耐＜80℃有机溶剂并耐150℃以下高温，外型简约美观。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652780"/>
                      <wp:effectExtent l="0" t="0" r="5080" b="13970"/>
                      <wp:docPr id="64"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8"/>
                              <pic:cNvPicPr>
                                <a:picLocks noChangeAspect="1"/>
                              </pic:cNvPicPr>
                              <pic:nvPr/>
                            </pic:nvPicPr>
                            <pic:blipFill>
                              <a:blip r:embed="rId74"/>
                              <a:stretch/>
                            </pic:blipFill>
                            <pic:spPr bwMode="auto">
                              <a:xfrm>
                                <a:off x="0" y="0"/>
                                <a:ext cx="1004570" cy="65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9.1pt;height:51.4pt;mso-wrap-distance-left:0.0pt;mso-wrap-distance-top:0.0pt;mso-wrap-distance-right:0.0pt;mso-wrap-distance-bottom:0.0pt;" stroked="f">
                      <v:path textboxrect="0,0,0,0"/>
                      <v:imagedata r:id="rId7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用于连接地面水管及水龙头，上水管两端接头采用201不锈钢螺帽铜芯，外管是304钢丝+尼龙丝混编</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下水装置</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规格:直径35mm*长度500mm水槽专配型排水管，不锈钢卡扣连接，安装方便不渗漏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1.主体：加厚铜质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2.涂层：高亮度环氧树脂涂层，耐腐蚀、耐热，防紫外线辐射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3.陶瓷阀芯90°旋转，使用寿命开关50万次，静态最大耐压20巴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4.经久耐用，不会出现渗水、断裂现象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5.鹅颈管可360°旋转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5610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876300" cy="1047750"/>
                      <wp:effectExtent l="0" t="0" r="0" b="0"/>
                      <wp:docPr id="6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9"/>
                              <pic:cNvPicPr>
                                <a:picLocks noChangeAspect="1"/>
                              </pic:cNvPicPr>
                              <pic:nvPr/>
                            </pic:nvPicPr>
                            <pic:blipFill>
                              <a:blip r:embed="rId75"/>
                              <a:stretch/>
                            </pic:blipFill>
                            <pic:spPr bwMode="auto">
                              <a:xfrm>
                                <a:off x="0" y="0"/>
                                <a:ext cx="876299"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9.0pt;height:82.5pt;mso-wrap-distance-left:0.0pt;mso-wrap-distance-top:0.0pt;mso-wrap-distance-right:0.0pt;mso-wrap-distance-bottom:0.0pt;" stroked="f">
                      <v:path textboxrect="0,0,0,0"/>
                      <v:imagedata r:id="rId7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外壳采用ABS注塑一次成型，隐蔽式防尘电源。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交直流输出0-24V,自动过载保护的学生电源有老师统一控制，具有交流220V输出五孔电源插座。</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878840"/>
                      <wp:effectExtent l="0" t="0" r="4445" b="16510"/>
                      <wp:docPr id="6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0"/>
                              <pic:cNvPicPr>
                                <a:picLocks noChangeAspect="1"/>
                              </pic:cNvPicPr>
                              <pic:nvPr/>
                            </pic:nvPicPr>
                            <pic:blipFill>
                              <a:blip r:embed="rId76"/>
                              <a:stretch/>
                            </pic:blipFill>
                            <pic:spPr bwMode="auto">
                              <a:xfrm>
                                <a:off x="0" y="0"/>
                                <a:ext cx="1005205" cy="878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9.1pt;height:69.2pt;mso-wrap-distance-left:0.0pt;mso-wrap-distance-top:0.0pt;mso-wrap-distance-right:0.0pt;mso-wrap-distance-bottom:0.0pt;" stroked="f">
                      <v:path textboxrect="0,0,0,0"/>
                      <v:imagedata r:id="rId76"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控制学生220V分四组输出，由电压表检测电压电流。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教师演示台设有安全宗电源，漏电过载保护功能。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交流220V多功能输出。</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696595"/>
                      <wp:effectExtent l="0" t="0" r="4445" b="8255"/>
                      <wp:docPr id="67"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1"/>
                              <pic:cNvPicPr>
                                <a:picLocks noChangeAspect="1"/>
                              </pic:cNvPicPr>
                              <pic:nvPr/>
                            </pic:nvPicPr>
                            <pic:blipFill>
                              <a:blip r:embed="rId77"/>
                              <a:stretch/>
                            </pic:blipFill>
                            <pic:spPr bwMode="auto">
                              <a:xfrm>
                                <a:off x="0" y="0"/>
                                <a:ext cx="1005205"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9.1pt;height:54.8pt;mso-wrap-distance-left:0.0pt;mso-wrap-distance-top:0.0pt;mso-wrap-distance-right:0.0pt;mso-wrap-distance-bottom:0.0pt;" stroked="f">
                      <v:path textboxrect="0,0,0,0"/>
                      <v:imagedata r:id="rId77"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规格:315*420-</w:t>
            </w:r>
            <w:r>
              <w:rPr>
                <w:rFonts w:hint="eastAsia" w:ascii="宋体" w:hAnsi="宋体" w:cs="宋体"/>
                <w:i w:val="0"/>
                <w:iCs w:val="0"/>
                <w:color w:val="000000"/>
                <w:sz w:val="20"/>
                <w:szCs w:val="20"/>
                <w:u w:val="none"/>
                <w:lang w:val="en-US" w:eastAsia="zh-CN" w:bidi="ar"/>
              </w:rPr>
              <w:t xml:space="preserve">480mm±10mm</w:t>
            </w:r>
            <w:r>
              <w:rPr>
                <w:rFonts w:hint="eastAsia" w:ascii="宋体" w:hAnsi="宋体" w:eastAsia="宋体" w:cs="宋体"/>
                <w:i w:val="0"/>
                <w:iCs w:val="0"/>
                <w:color w:val="000000"/>
                <w:sz w:val="20"/>
                <w:szCs w:val="20"/>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凳脚材质:4个凳脚采用20*40*</w:t>
            </w:r>
            <w:r>
              <w:rPr>
                <w:rFonts w:hint="eastAsia" w:ascii="宋体" w:hAnsi="宋体" w:cs="宋体"/>
                <w:i w:val="0"/>
                <w:iCs w:val="0"/>
                <w:color w:val="000000"/>
                <w:sz w:val="20"/>
                <w:szCs w:val="20"/>
                <w:u w:val="none"/>
                <w:lang w:val="en-US" w:eastAsia="zh-CN" w:bidi="ar"/>
              </w:rPr>
              <w:t xml:space="preserve">1.1mm</w:t>
            </w:r>
            <w:r>
              <w:rPr>
                <w:rFonts w:hint="eastAsia" w:ascii="宋体" w:hAnsi="宋体" w:eastAsia="宋体" w:cs="宋体"/>
                <w:i w:val="0"/>
                <w:iCs w:val="0"/>
                <w:color w:val="000000"/>
                <w:sz w:val="20"/>
                <w:szCs w:val="20"/>
                <w:u w:val="none"/>
                <w:lang w:val="en-US" w:eastAsia="zh-CN" w:bidi="ar"/>
              </w:rPr>
              <w:t xml:space="preserve">椭圆形无缝钢管模具一次成型,全圆满焊完成,结构牢固,经高温粉体烤漆处理,长时间使用也不会产生表面烤漆剥落现象；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凳面:凳面直径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采用环保型PP改性塑料一次性注塑成型;凳面表面有颗粒状凸起起到按摩作用；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托盘:凳面下装有直径大于</w:t>
            </w:r>
            <w:r>
              <w:rPr>
                <w:rFonts w:hint="eastAsia" w:ascii="宋体" w:hAnsi="宋体" w:cs="宋体"/>
                <w:i w:val="0"/>
                <w:iCs w:val="0"/>
                <w:color w:val="000000"/>
                <w:sz w:val="20"/>
                <w:szCs w:val="20"/>
                <w:u w:val="none"/>
                <w:lang w:val="en-US" w:eastAsia="zh-CN" w:bidi="ar"/>
              </w:rPr>
              <w:t xml:space="preserve">156mm</w:t>
            </w:r>
            <w:r>
              <w:rPr>
                <w:rFonts w:hint="eastAsia" w:ascii="宋体" w:hAnsi="宋体" w:eastAsia="宋体" w:cs="宋体"/>
                <w:i w:val="0"/>
                <w:iCs w:val="0"/>
                <w:color w:val="000000"/>
                <w:sz w:val="20"/>
                <w:szCs w:val="20"/>
                <w:u w:val="none"/>
                <w:lang w:val="en-US" w:eastAsia="zh-CN" w:bidi="ar"/>
              </w:rPr>
              <w:t xml:space="preserve">的托盘,厚度不小于</w:t>
            </w:r>
            <w:r>
              <w:rPr>
                <w:rFonts w:hint="eastAsia" w:ascii="宋体" w:hAnsi="宋体" w:cs="宋体"/>
                <w:i w:val="0"/>
                <w:iCs w:val="0"/>
                <w:color w:val="000000"/>
                <w:sz w:val="20"/>
                <w:szCs w:val="20"/>
                <w:u w:val="none"/>
                <w:lang w:val="en-US" w:eastAsia="zh-CN" w:bidi="ar"/>
              </w:rPr>
              <w:t xml:space="preserve">1.4mm</w:t>
            </w:r>
            <w:r>
              <w:rPr>
                <w:rFonts w:hint="eastAsia" w:ascii="宋体" w:hAnsi="宋体" w:eastAsia="宋体" w:cs="宋体"/>
                <w:i w:val="0"/>
                <w:iCs w:val="0"/>
                <w:color w:val="000000"/>
                <w:sz w:val="20"/>
                <w:szCs w:val="20"/>
                <w:u w:val="none"/>
                <w:lang w:val="en-US" w:eastAsia="zh-CN" w:bidi="ar"/>
              </w:rPr>
              <w:t xml:space="preserve">；</w:t>
            </w:r>
            <w:r/>
          </w:p>
          <w:p>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10360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81075"/>
                      <wp:effectExtent l="0" t="0" r="4445" b="9525"/>
                      <wp:docPr id="68"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2"/>
                              <pic:cNvPicPr>
                                <a:picLocks noChangeAspect="1"/>
                              </pic:cNvPicPr>
                              <pic:nvPr/>
                            </pic:nvPicPr>
                            <pic:blipFill>
                              <a:blip r:embed="rId78"/>
                              <a:stretch/>
                            </pic:blipFill>
                            <pic:spPr bwMode="auto">
                              <a:xfrm>
                                <a:off x="0" y="0"/>
                                <a:ext cx="100520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9.1pt;height:77.2pt;mso-wrap-distance-left:0.0pt;mso-wrap-distance-top:0.0pt;mso-wrap-distance-right:0.0pt;mso-wrap-distance-bottom:0.0pt;" stroked="f">
                      <v:path textboxrect="0,0,0,0"/>
                      <v:imagedata r:id="rId78"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离心风机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6#离心风机</w:t>
            </w:r>
            <w:r>
              <w:rPr>
                <w:rFonts w:hint="eastAsia" w:ascii="宋体" w:hAnsi="宋体" w:cs="宋体"/>
                <w:i w:val="0"/>
                <w:iCs w:val="0"/>
                <w:color w:val="000000"/>
                <w:sz w:val="20"/>
                <w:szCs w:val="20"/>
                <w:u w:val="none"/>
                <w:lang w:val="en-US" w:eastAsia="zh-CN" w:bidi="ar"/>
              </w:rPr>
              <w:t xml:space="preserve">，电压：380V，功率：</w:t>
            </w:r>
            <w:r>
              <w:rPr>
                <w:rFonts w:hint="eastAsia" w:ascii="宋体" w:hAnsi="宋体" w:eastAsia="宋体" w:cs="宋体"/>
                <w:i w:val="0"/>
                <w:iCs w:val="0"/>
                <w:color w:val="000000"/>
                <w:sz w:val="20"/>
                <w:szCs w:val="20"/>
                <w:u w:val="none"/>
                <w:lang w:val="en-US" w:eastAsia="zh-CN" w:bidi="ar"/>
              </w:rPr>
              <w:t xml:space="preserve">5.5KW，转速</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1450r/min，流量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10602-21204M3/h，全压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1150-748Pa,风机外壳和叶轮均采用模具一次成型。配橡胶减震器用于消除专用通风机引起的震动，配防雨帽，PP材</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质，主要用于对专用通风机的防护。</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887095"/>
                      <wp:effectExtent l="0" t="0" r="3810" b="8255"/>
                      <wp:docPr id="6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3"/>
                              <pic:cNvPicPr>
                                <a:picLocks noChangeAspect="1"/>
                              </pic:cNvPicPr>
                              <pic:nvPr/>
                            </pic:nvPicPr>
                            <pic:blipFill>
                              <a:blip r:embed="rId79"/>
                              <a:stretch/>
                            </pic:blipFill>
                            <pic:spPr bwMode="auto">
                              <a:xfrm>
                                <a:off x="0" y="0"/>
                                <a:ext cx="1005840" cy="88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9.2pt;height:69.8pt;mso-wrap-distance-left:0.0pt;mso-wrap-distance-top:0.0pt;mso-wrap-distance-right:0.0pt;mso-wrap-distance-bottom:0.0pt;" stroked="f">
                      <v:path textboxrect="0,0,0,0"/>
                      <v:imagedata r:id="rId79"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φ400*1000mm,PP材质，内置隔音棉等隔音装置，确保通风室外噪音小于50分贝。</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风机软连接</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φ600-φ400mm,pp材质。进出口接头采用柔性材质，消除因震动引起的微量错位对风机的影响。</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采用电流无感矢量控制，型号：380V/5.5KW，额定电压：380V+15%，频率：50-60HZ。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552450" cy="703580"/>
                      <wp:effectExtent l="0" t="0" r="0" b="1270"/>
                      <wp:docPr id="70"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6"/>
                              <pic:cNvPicPr>
                                <a:picLocks noChangeAspect="1"/>
                              </pic:cNvPicPr>
                              <pic:nvPr/>
                            </pic:nvPicPr>
                            <pic:blipFill>
                              <a:blip r:embed="rId68"/>
                              <a:stretch/>
                            </pic:blipFill>
                            <pic:spPr bwMode="auto">
                              <a:xfrm>
                                <a:off x="0" y="0"/>
                                <a:ext cx="552450"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3.5pt;height:55.4pt;mso-wrap-distance-left:0.0pt;mso-wrap-distance-top:0.0pt;mso-wrap-distance-right:0.0pt;mso-wrap-distance-bottom:0.0pt;" stroked="f">
                      <v:path textboxrect="0,0,0,0"/>
                      <v:imagedata r:id="rId68" o:title=""/>
                    </v:shape>
                  </w:pict>
                </mc:Fallback>
              </mc:AlternateConten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919480"/>
                      <wp:effectExtent l="0" t="0" r="4445" b="13970"/>
                      <wp:docPr id="71"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4"/>
                              <pic:cNvPicPr>
                                <a:picLocks noChangeAspect="1"/>
                              </pic:cNvPicPr>
                              <pic:nvPr/>
                            </pic:nvPicPr>
                            <pic:blipFill>
                              <a:blip r:embed="rId80"/>
                              <a:stretch/>
                            </pic:blipFill>
                            <pic:spPr bwMode="auto">
                              <a:xfrm>
                                <a:off x="0" y="0"/>
                                <a:ext cx="1005205" cy="919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9.1pt;height:72.4pt;mso-wrap-distance-left:0.0pt;mso-wrap-distance-top:0.0pt;mso-wrap-distance-right:0.0pt;mso-wrap-distance-bottom:0.0pt;" stroked="f">
                      <v:path textboxrect="0,0,0,0"/>
                      <v:imagedata r:id="rId8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关节：可360度旋转调节方向，易拆卸、重组及清洗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关节密封圈：不易老化之高密度橡胶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关节弹簧装置：防下垂、下滑、松动.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关节松紧旋钮：高密度PP材质，内嵌不锈钢轴承，与关节连接杆锁合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气流调节阀：手动调节外部阀门旋钮，控制进入之气流量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拱型/杯型集气罩：高密度PP/PC材质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固定底座：非粘接而成，模具注塑一体成型，牢度强，不脱底</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47850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852170"/>
                      <wp:effectExtent l="0" t="0" r="4445" b="5080"/>
                      <wp:docPr id="72"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5"/>
                              <pic:cNvPicPr>
                                <a:picLocks noChangeAspect="1"/>
                              </pic:cNvPicPr>
                              <pic:nvPr/>
                            </pic:nvPicPr>
                            <pic:blipFill>
                              <a:blip r:embed="rId81"/>
                              <a:stretch/>
                            </pic:blipFill>
                            <pic:spPr bwMode="auto">
                              <a:xfrm>
                                <a:off x="0" y="0"/>
                                <a:ext cx="1005205" cy="85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9.1pt;height:67.1pt;mso-wrap-distance-left:0.0pt;mso-wrap-distance-top:0.0pt;mso-wrap-distance-right:0.0pt;mso-wrap-distance-bottom:0.0pt;" stroked="f">
                      <v:path textboxrect="0,0,0,0"/>
                      <v:imagedata r:id="rId8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室内风管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室内风管采用直径为200mmPVC管路系统或者采用PP焊接管路系统</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室外风管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室外风管采用直径为400mmPVC管路系统或者采用PP焊接管路系统</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三相电缆、含线路管道</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386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钢木</w:t>
            </w:r>
            <w:r>
              <w:rPr>
                <w:rFonts w:hint="eastAsia" w:ascii="宋体" w:hAnsi="宋体" w:eastAsia="宋体" w:cs="宋体"/>
                <w:i w:val="0"/>
                <w:iCs w:val="0"/>
                <w:color w:val="000000"/>
                <w:sz w:val="20"/>
                <w:szCs w:val="20"/>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全钢结构</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一体化台面，每边4个抽屉、</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组对开门，基本要求如下：</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台面尺寸（度宽高）3000mm×1100mm×800mm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台面:台面采用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12.7mm实芯理化板，四边厚度25㎜；</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2.1</w:t>
            </w:r>
            <w:r>
              <w:rPr>
                <w:rFonts w:hint="eastAsia" w:ascii="宋体" w:hAnsi="宋体" w:eastAsia="宋体" w:cs="宋体"/>
                <w:sz w:val="20"/>
                <w:szCs w:val="18"/>
              </w:rPr>
              <w:t xml:space="preserve">表面耐污染性能：</w:t>
            </w:r>
            <w:r>
              <w:rPr>
                <w:rFonts w:hint="eastAsia" w:ascii="宋体" w:hAnsi="宋体" w:cs="宋体"/>
                <w:sz w:val="20"/>
                <w:szCs w:val="18"/>
                <w:lang w:eastAsia="zh-CN"/>
              </w:rPr>
              <w:t xml:space="preserve">耐污染性能不少于90项试验污染物的检测</w:t>
            </w:r>
            <w:r>
              <w:rPr>
                <w:rFonts w:hint="eastAsia" w:ascii="宋体" w:hAnsi="宋体" w:eastAsia="宋体" w:cs="宋体"/>
                <w:sz w:val="20"/>
                <w:szCs w:val="18"/>
              </w:rPr>
              <w:t xml:space="preserve">，</w:t>
            </w:r>
            <w:r>
              <w:rPr>
                <w:rFonts w:hint="eastAsia" w:ascii="宋体" w:hAnsi="宋体" w:cs="宋体"/>
                <w:sz w:val="20"/>
                <w:szCs w:val="18"/>
                <w:lang w:eastAsia="zh-CN"/>
              </w:rPr>
              <w:t xml:space="preserve">且覆盖玻璃盖板和未覆盖玻璃盖板检验结果≥4级；</w:t>
            </w:r>
            <w:r/>
          </w:p>
          <w:p>
            <w:pPr>
              <w:rPr>
                <w:rFonts w:hint="eastAsia" w:ascii="宋体" w:hAnsi="宋体" w:eastAsia="宋体" w:cs="宋体"/>
                <w:sz w:val="20"/>
                <w:szCs w:val="18"/>
                <w:lang w:eastAsia="zh-CN"/>
              </w:rPr>
            </w:pPr>
            <w:r>
              <w:rPr>
                <w:rFonts w:hint="eastAsia" w:ascii="宋体" w:hAnsi="宋体" w:cs="宋体"/>
                <w:sz w:val="20"/>
                <w:szCs w:val="18"/>
                <w:lang w:val="en-US" w:eastAsia="zh-CN"/>
              </w:rPr>
              <w:t xml:space="preserve">2.2</w:t>
            </w:r>
            <w:r>
              <w:rPr>
                <w:rFonts w:hint="eastAsia" w:ascii="宋体" w:hAnsi="宋体" w:cs="宋体"/>
                <w:sz w:val="20"/>
                <w:szCs w:val="18"/>
                <w:lang w:eastAsia="zh-CN"/>
              </w:rPr>
              <w:t xml:space="preserve">抗菌性能：大肠杆菌抗菌率≥90.00%，金黄色葡萄球菌抗菌率≥90.00%；</w:t>
            </w:r>
            <w:r/>
          </w:p>
          <w:p>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 xml:space="preserve">2.3</w:t>
            </w:r>
            <w:r>
              <w:rPr>
                <w:rFonts w:hint="eastAsia" w:ascii="宋体" w:hAnsi="宋体" w:eastAsia="宋体" w:cs="宋体"/>
                <w:sz w:val="20"/>
                <w:szCs w:val="18"/>
              </w:rPr>
              <w:t xml:space="preserve">防霉性能：至少包含黑曲霉、土曲霉、宛氏拟青霉、绳状青霉、出芽短梗霉、球毛壳的霉菌检测，且</w:t>
            </w:r>
            <w:r>
              <w:rPr>
                <w:rFonts w:hint="eastAsia" w:ascii="宋体" w:hAnsi="宋体" w:cs="宋体"/>
                <w:sz w:val="20"/>
                <w:szCs w:val="18"/>
                <w:lang w:eastAsia="zh-CN"/>
              </w:rPr>
              <w:t xml:space="preserve">防霉等级≤1级；</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台身：采用≥1.0mm厚镀锌钢板，钢板表面经环氧树脂静电粉末喷涂。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桌脚：采用直径不小于10mm的螺杆与ABS工程塑料一次注塑成型的脚垫，高度可调节。</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5</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柜门铰链：采用不锈钢定位铰链，铰链的壁厚不小于1.5mm。</w:t>
            </w:r>
            <w:r/>
          </w:p>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 xml:space="preserve">6</w:t>
            </w:r>
            <w:r>
              <w:rPr>
                <w:rFonts w:hint="eastAsia" w:ascii="宋体" w:hAnsi="宋体" w:cs="宋体"/>
                <w:i w:val="0"/>
                <w:iCs w:val="0"/>
                <w:color w:val="000000"/>
                <w:sz w:val="20"/>
                <w:szCs w:val="20"/>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抽屉滑道：采用消声三节滑轨，壁厚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1.5mm合金钢板一次性成型加工，表面经环氧树脂静电喷涂。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15850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1218565"/>
                      <wp:effectExtent l="0" t="0" r="5080" b="635"/>
                      <wp:docPr id="73"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6"/>
                              <pic:cNvPicPr>
                                <a:picLocks noChangeAspect="1"/>
                              </pic:cNvPicPr>
                              <pic:nvPr/>
                            </pic:nvPicPr>
                            <pic:blipFill>
                              <a:blip r:embed="rId82"/>
                              <a:stretch/>
                            </pic:blipFill>
                            <pic:spPr bwMode="auto">
                              <a:xfrm>
                                <a:off x="0" y="0"/>
                                <a:ext cx="1004570" cy="121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9.1pt;height:95.9pt;mso-wrap-distance-left:0.0pt;mso-wrap-distance-top:0.0pt;mso-wrap-distance-right:0.0pt;mso-wrap-distance-bottom:0.0pt;" stroked="f">
                      <v:path textboxrect="0,0,0,0"/>
                      <v:imagedata r:id="rId82" o:title=""/>
                    </v:shape>
                  </w:pict>
                </mc:Fallback>
              </mc:AlternateConten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规格1500*850*2350</w:t>
            </w:r>
            <w:r>
              <w:rPr>
                <w:rFonts w:hint="eastAsia" w:ascii="宋体" w:hAnsi="宋体" w:cs="宋体"/>
                <w:i w:val="0"/>
                <w:iCs w:val="0"/>
                <w:color w:val="000000"/>
                <w:sz w:val="20"/>
                <w:szCs w:val="20"/>
                <w:u w:val="none"/>
                <w:lang w:val="en-US" w:eastAsia="zh-CN" w:bidi="ar"/>
              </w:rPr>
              <w:t xml:space="preserve">mm±10mm</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lang w:val="en-US" w:eastAsia="zh-CN" w:bidi="ar-SA"/>
              </w:rPr>
              <w:t xml:space="preserve">2、</w:t>
            </w:r>
            <w:r>
              <w:rPr>
                <w:rFonts w:hint="eastAsia" w:ascii="宋体" w:hAnsi="宋体" w:eastAsia="宋体" w:cs="宋体"/>
                <w:i w:val="0"/>
                <w:iCs w:val="0"/>
                <w:color w:val="000000"/>
                <w:sz w:val="20"/>
                <w:szCs w:val="20"/>
                <w:u w:val="none"/>
                <w:lang w:val="en-US" w:eastAsia="zh-CN" w:bidi="ar"/>
              </w:rPr>
              <w:t xml:space="preserve">结构组合：采用三段组合式柜体，上部柜体（通风柜体），中间（操作面板），下部柜体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3、外壳：采用厚不小于1.0mm镀锌钢板冲压成型制作，表面经耐酸碱环氧树脂喷涂处理；</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SA"/>
              </w:rPr>
              <w:t xml:space="preserve">4、</w:t>
            </w:r>
            <w:r>
              <w:rPr>
                <w:rFonts w:hint="eastAsia" w:ascii="宋体" w:hAnsi="宋体" w:eastAsia="宋体" w:cs="宋体"/>
                <w:i w:val="0"/>
                <w:iCs w:val="0"/>
                <w:color w:val="000000"/>
                <w:sz w:val="20"/>
                <w:szCs w:val="20"/>
                <w:u w:val="none"/>
                <w:lang w:val="en-US" w:eastAsia="zh-CN" w:bidi="ar"/>
              </w:rPr>
              <w:t xml:space="preserve">内壳：采用不小于5mm厚耐酸碱、耐高温的抗倍特板制作；</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5、面板：采用不小于12.7mm厚实芯理化板，结构坚固，耐强酸碱；</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照明：采用LED日光灯；</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拉手：采用ABS注塑成型；</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SA"/>
              </w:rPr>
              <w:t xml:space="preserve">8、</w:t>
            </w:r>
            <w:r>
              <w:rPr>
                <w:rFonts w:hint="eastAsia" w:ascii="宋体" w:hAnsi="宋体" w:eastAsia="宋体" w:cs="宋体"/>
                <w:i w:val="0"/>
                <w:iCs w:val="0"/>
                <w:color w:val="000000"/>
                <w:sz w:val="20"/>
                <w:szCs w:val="20"/>
                <w:u w:val="none"/>
                <w:lang w:val="en-US" w:eastAsia="zh-CN" w:bidi="ar"/>
              </w:rPr>
              <w:t xml:space="preserve">气流板： 采用不小于5mm厚抗倍特板制作，安装位置与角度需使排气分布均匀，无死角，在标准状况下，导流板上方与中、下方出风口排风量比例各约50±10%，以确保不同比重之气体均能有效排除，另并具手动可调排风量比例设计；</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9、化验水斗：采用PP制作，耐酸碱一体成型小水杯；</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10、化验水嘴：采用实验室专用单口烤漆水嘴；</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11、窗口：采用不小于5mm厚的钢化玻璃制作。内部采用垂体平衡装置，可以停留在上下任何位置；</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 液晶控制系统：通风柜控制器以微控制器为核心，采用模块化设计，其主要特点是功能完备，结构简单，界面清晰，操作容易。</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10720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840" cy="1082675"/>
                      <wp:effectExtent l="0" t="0" r="3810" b="3175"/>
                      <wp:docPr id="7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7"/>
                              <pic:cNvPicPr>
                                <a:picLocks noChangeAspect="1"/>
                              </pic:cNvPicPr>
                              <pic:nvPr/>
                            </pic:nvPicPr>
                            <pic:blipFill>
                              <a:blip r:embed="rId83"/>
                              <a:stretch/>
                            </pic:blipFill>
                            <pic:spPr bwMode="auto">
                              <a:xfrm>
                                <a:off x="0" y="0"/>
                                <a:ext cx="1005840" cy="108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9.2pt;height:85.2pt;mso-wrap-distance-left:0.0pt;mso-wrap-distance-top:0.0pt;mso-wrap-distance-right:0.0pt;mso-wrap-distance-bottom:0.0pt;" stroked="f">
                      <v:path textboxrect="0,0,0,0"/>
                      <v:imagedata r:id="rId83"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整体规格：1000mm（L）×500mm（W）×2000mm（H）</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整体采用环保型ABS塑料一次性注塑成型，层板采用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2.5mm厚双面环保型PP改性塑料，耐强酸碱及有机溶剂，内设加强筋。</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柜体：榫卯连接结构并合理布局加强筋，安装时不用胶水粘结，不用任何金属螺丝。</w:t>
            </w:r>
            <w:r/>
          </w:p>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0"/>
                <w:szCs w:val="20"/>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上部为ABS工程塑料镶装玻璃对开门,带锁、内嵌式塑料扣手，尼龙塑料铰链，高强度耐磨，防水、永不生锈，内设PP改性活动隔板2块。</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下部为ABS工程塑料对开门，带</w:t>
            </w:r>
            <w:r>
              <w:rPr>
                <w:rFonts w:hint="eastAsia" w:ascii="宋体" w:hAnsi="宋体" w:eastAsia="宋体" w:cs="宋体"/>
                <w:i w:val="0"/>
                <w:iCs w:val="0"/>
                <w:color w:val="000000"/>
                <w:sz w:val="20"/>
                <w:szCs w:val="20"/>
                <w:u w:val="none"/>
                <w:lang w:val="en-US" w:eastAsia="zh-CN" w:bidi="ar"/>
              </w:rPr>
              <w:t xml:space="preserve">锁、内嵌式塑料扣手，采用尼龙塑料铰链，内设PP改性塑料活动隔板1块。门板与侧板并安装有防盗插销，防止从外部撬开柜门。底座高80mm，上下板30mm，重要部位加厚处理，从而使产品更牢固，结实耐用。</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仪器</w:t>
            </w:r>
            <w:r>
              <w:rPr>
                <w:rFonts w:hint="eastAsia" w:ascii="宋体" w:hAnsi="宋体" w:cs="宋体"/>
                <w:i w:val="0"/>
                <w:iCs w:val="0"/>
                <w:color w:val="000000"/>
                <w:sz w:val="20"/>
                <w:szCs w:val="20"/>
                <w:highlight w:val="none"/>
                <w:u w:val="none"/>
                <w:lang w:val="en-US" w:eastAsia="zh-CN" w:bidi="ar"/>
              </w:rPr>
              <w:t xml:space="preserve">塑料件</w:t>
            </w:r>
            <w:r>
              <w:rPr>
                <w:rFonts w:hint="eastAsia" w:ascii="宋体" w:hAnsi="宋体" w:eastAsia="宋体" w:cs="宋体"/>
                <w:i w:val="0"/>
                <w:iCs w:val="0"/>
                <w:color w:val="000000"/>
                <w:sz w:val="20"/>
                <w:szCs w:val="20"/>
                <w:highlight w:val="none"/>
                <w:u w:val="none"/>
                <w:lang w:val="en-US" w:eastAsia="zh-CN" w:bidi="ar"/>
              </w:rPr>
              <w:t xml:space="preserve">符合：</w:t>
            </w:r>
            <w:r/>
          </w:p>
          <w:p>
            <w:pPr>
              <w:numPr>
                <w:ilvl w:val="0"/>
                <w:numId w:val="0"/>
              </w:numPr>
              <w:jc w:val="left"/>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（1）塑料材料理化性能：冲击强度≥</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0J/㎡</w:t>
            </w:r>
            <w:r>
              <w:rPr>
                <w:rFonts w:hint="eastAsia" w:ascii="宋体" w:hAnsi="宋体" w:cs="宋体"/>
                <w:i w:val="0"/>
                <w:iCs w:val="0"/>
                <w:color w:val="000000"/>
                <w:sz w:val="20"/>
                <w:szCs w:val="20"/>
                <w:highlight w:val="none"/>
                <w:u w:val="none"/>
                <w:lang w:val="en-US" w:eastAsia="zh-CN" w:bidi="ar"/>
              </w:rPr>
              <w:t xml:space="preserve">；</w:t>
            </w:r>
            <w:r/>
          </w:p>
          <w:p>
            <w:pPr>
              <w:rPr>
                <w:rFonts w:hint="eastAsia" w:ascii="宋体" w:hAnsi="宋体" w:eastAsia="宋体" w:cs="宋体"/>
                <w:i w:val="0"/>
                <w:iCs w:val="0"/>
                <w:color w:val="000000"/>
                <w:sz w:val="20"/>
                <w:szCs w:val="20"/>
                <w:u w:val="none"/>
              </w:rPr>
            </w:pP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w:t>
            </w:r>
            <w:r>
              <w:rPr>
                <w:rFonts w:hint="default"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塑料件硬度：邵氏D硬度≥HD</w:t>
            </w:r>
            <w:r>
              <w:rPr>
                <w:rFonts w:hint="eastAsia" w:ascii="宋体" w:hAnsi="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5205" cy="1334770"/>
                      <wp:effectExtent l="0" t="0" r="4445" b="17780"/>
                      <wp:docPr id="75"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8"/>
                              <pic:cNvPicPr>
                                <a:picLocks noChangeAspect="1"/>
                              </pic:cNvPicPr>
                              <pic:nvPr/>
                            </pic:nvPicPr>
                            <pic:blipFill>
                              <a:blip r:embed="rId84"/>
                              <a:stretch/>
                            </pic:blipFill>
                            <pic:spPr bwMode="auto">
                              <a:xfrm>
                                <a:off x="0" y="0"/>
                                <a:ext cx="1005205" cy="1334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9.1pt;height:105.1pt;mso-wrap-distance-left:0.0pt;mso-wrap-distance-top:0.0pt;mso-wrap-distance-right:0.0pt;mso-wrap-distance-bottom:0.0pt;" stroked="f">
                      <v:path textboxrect="0,0,0,0"/>
                      <v:imagedata r:id="rId84"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准备桌水槽</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pp规格550*450</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采用PP改性材料，塑料注塑模一次性成型，耐强酸强碱耐＜80℃有机溶剂并耐150℃以下高温，外型简约美观。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633730"/>
                      <wp:effectExtent l="0" t="0" r="5080" b="13970"/>
                      <wp:docPr id="76"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9"/>
                              <pic:cNvPicPr>
                                <a:picLocks noChangeAspect="1"/>
                              </pic:cNvPicPr>
                              <pic:nvPr/>
                            </pic:nvPicPr>
                            <pic:blipFill>
                              <a:blip r:embed="rId85"/>
                              <a:stretch/>
                            </pic:blipFill>
                            <pic:spPr bwMode="auto">
                              <a:xfrm>
                                <a:off x="0" y="0"/>
                                <a:ext cx="1004570"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9.1pt;height:49.9pt;mso-wrap-distance-left:0.0pt;mso-wrap-distance-top:0.0pt;mso-wrap-distance-right:0.0pt;mso-wrap-distance-bottom:0.0pt;" stroked="f">
                      <v:path textboxrect="0,0,0,0"/>
                      <v:imagedata r:id="rId85"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771525" cy="1247775"/>
                      <wp:effectExtent l="0" t="0" r="9525" b="9525"/>
                      <wp:docPr id="77"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0"/>
                              <pic:cNvPicPr>
                                <a:picLocks noChangeAspect="1"/>
                              </pic:cNvPicPr>
                              <pic:nvPr/>
                            </pic:nvPicPr>
                            <pic:blipFill>
                              <a:blip r:embed="rId86"/>
                              <a:stretch/>
                            </pic:blipFill>
                            <pic:spPr bwMode="auto">
                              <a:xfrm>
                                <a:off x="0" y="0"/>
                                <a:ext cx="771525"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98.2pt;mso-wrap-distance-left:0.0pt;mso-wrap-distance-top:0.0pt;mso-wrap-distance-right:0.0pt;mso-wrap-distance-bottom:0.0pt;" stroked="f">
                      <v:path textboxrect="0,0,0,0"/>
                      <v:imagedata r:id="rId86"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1.主体：加厚铜质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2.涂层：高亮度环氧树脂涂层，耐腐蚀、耐热，防紫外线辐射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3.陶瓷阀芯90°旋转，使用寿命开关50万次，静态最大耐压20巴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4.经久耐用，不会出现渗水、断裂现象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5.鹅颈管可360°旋转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6.开关旋钮：高密度PP，人体工学设计，手感舒适</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sz w:val="18"/>
                <w:szCs w:val="18"/>
              </w:rPr>
              <w:suppressLineNumbers w:val="0"/>
            </w:pPr>
            <w:r>
              <w:rPr>
                <w:rFonts w:hint="eastAsia" w:ascii="宋体" w:hAnsi="宋体" w:eastAsia="宋体" w:cs="宋体"/>
                <w:i w:val="0"/>
                <w:iCs w:val="0"/>
                <w:color w:val="000000"/>
                <w:sz w:val="18"/>
                <w:szCs w:val="18"/>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952500" cy="1123950"/>
                      <wp:effectExtent l="0" t="0" r="0" b="0"/>
                      <wp:docPr id="7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1"/>
                              <pic:cNvPicPr>
                                <a:picLocks noChangeAspect="1"/>
                              </pic:cNvPicPr>
                              <pic:nvPr/>
                            </pic:nvPicPr>
                            <pic:blipFill>
                              <a:blip r:embed="rId87"/>
                              <a:stretch/>
                            </pic:blipFill>
                            <pic:spPr bwMode="auto">
                              <a:xfrm>
                                <a:off x="0" y="0"/>
                                <a:ext cx="952500"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0pt;height:88.5pt;mso-wrap-distance-left:0.0pt;mso-wrap-distance-top:0.0pt;mso-wrap-distance-right:0.0pt;mso-wrap-distance-bottom:0.0pt;" stroked="f">
                      <v:path textboxrect="0,0,0,0"/>
                      <v:imagedata r:id="rId87"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固体、液体和气体演示实验箱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以《普通</w:t>
            </w:r>
            <w:r>
              <w:rPr>
                <w:rFonts w:hint="eastAsia" w:ascii="宋体" w:hAnsi="宋体" w:eastAsia="宋体" w:cs="宋体"/>
                <w:i w:val="0"/>
                <w:iCs w:val="0"/>
                <w:color w:val="000000"/>
                <w:sz w:val="20"/>
                <w:szCs w:val="20"/>
                <w:u w:val="none"/>
                <w:lang w:val="en-US" w:eastAsia="zh-CN" w:bidi="ar"/>
              </w:rPr>
              <w:t xml:space="preserve">高中物理课程标准》为依据，结合最新国家教材委员会专家委员会审核通过的各大版本普通高中物理教科书(含必修课程和选择性必修课程)，满足高中物理课程的所有学生实验。此箱是专为教师及学生完成教材要求的实验而设计，采用高度集成的方法将“固体、液体和气体”、“热力学定律”这两个学习主题对应的实验所用到的实验器材分块放置在实验箱里，准备简单，管理方便。每款仪器的配置均符合教材上要求的实验要求，充分提高了实验课堂的授课水平和学习质量。并对普通高中物理教学装备配置标准中的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一、实验箱规格描述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1、外形尺寸：箱体470×360×210（±10）mm，壁厚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二、产品组成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由温度计*1；不锈钢酒精灯*1；多功能组合支架(X型支座)*1；支撑杆/铁架台立杆*1；新型升降块*2</w:t>
            </w:r>
            <w:r>
              <w:rPr>
                <w:rFonts w:hint="eastAsia" w:ascii="宋体" w:hAnsi="宋体" w:eastAsia="宋体" w:cs="宋体"/>
                <w:i w:val="0"/>
                <w:iCs w:val="0"/>
                <w:color w:val="000000"/>
                <w:sz w:val="20"/>
                <w:szCs w:val="20"/>
                <w:u w:val="none"/>
                <w:lang w:val="en-US" w:eastAsia="zh-CN" w:bidi="ar"/>
              </w:rPr>
              <w:t xml:space="preserve">；铁圈*1；石棉网*1；锥形瓶/三角烧瓶*1；硅胶管*1；玻璃烧杯*1；色素*1；玻意尔定律实验器*1；针筒*1；双孔硅胶塞*1；单孔硅胶塞*1；长直角玻璃导管(粗)*1；玻璃导管*1；硅胶管*1；U型压强计*1；玻璃试管*1；蜂蜡*1；透明玻璃板*1；石蜡*1；塑料圈*1；瓶装泡泡水*1；小滴管*1；液晶车载时钟*1；毛细玻璃管（5种规格）*1；金属毛细管支架*1；空气压缩引火仪*1；两用打气筒*1；饮水鸟/永动鸟*1；短管标准漏斗*1；玻璃杯*1；玻璃培养皿*1；尼龙线*1；云母石*2；浅碟*1等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三、主要配置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多功能组合支架(X型支座)：规格：240×132×28mm；材质：增强ABS；工艺：塑料注塑成型，表面磨砂工艺处理；结构形式：设有立杆异形安装孔、两脚立杆扩展孔、组合卡扣、内嵌铜螺母，内嵌铜螺母上旋接固定有M6紧锁手拧螺丝，主体内部含金属配重；功能描述：两件对插组合使用呈X型，可作为铁架台底座、光学导轨、新能源轨道等，可满足理化生不同学科实验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毛细管支架：规格：135×40×90mm；材质：主体为金属材质；工艺：钣金成型，表面喷漆工艺处理；结构形式：设有5个规格不同毛细管放置孔，主体为金属钣金，底座为塑料材质；功能描述：用于探究毛细现象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四、功能和应用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模拟演示实验：1.温度计；2.探究气体等温变化的规律（玻意尔定律）；3.等压变化（盖—吕萨克定律）；4.等容变化（查理定律）；5.晶体和非晶体；6.石蜡在玻璃和云母片上的融化；7.液体的表面张力（观察肥皂膜和棉线的变化）；8.浸润和不浸润（水滴在玻璃面和蜡面的现象、毛细现象）；9.观察液晶屏10.空气压缩引火实验；11.功与内能的改变（观察橡胶塞跳出时瓶内的变化）等</w:t>
            </w:r>
            <w:r>
              <w:rPr>
                <w:rFonts w:hint="eastAsia" w:ascii="宋体" w:hAnsi="宋体" w:cs="宋体"/>
                <w:i w:val="0"/>
                <w:iCs w:val="0"/>
                <w:color w:val="000000"/>
                <w:sz w:val="20"/>
                <w:szCs w:val="20"/>
                <w:u w:val="none"/>
                <w:lang w:val="en-US" w:eastAsia="zh-CN" w:bidi="ar"/>
              </w:rPr>
              <w:t xml:space="preserve">11种实验内容</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7350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2665" cy="458470"/>
                      <wp:effectExtent l="0" t="0" r="6985" b="17780"/>
                      <wp:docPr id="79"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3"/>
                              <pic:cNvPicPr>
                                <a:picLocks noChangeAspect="1"/>
                              </pic:cNvPicPr>
                              <pic:nvPr/>
                            </pic:nvPicPr>
                            <pic:blipFill>
                              <a:blip r:embed="rId88"/>
                              <a:stretch/>
                            </pic:blipFill>
                            <pic:spPr bwMode="auto">
                              <a:xfrm>
                                <a:off x="0" y="0"/>
                                <a:ext cx="1002665" cy="458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9.0pt;height:36.1pt;mso-wrap-distance-left:0.0pt;mso-wrap-distance-top:0.0pt;mso-wrap-distance-right:0.0pt;mso-wrap-distance-bottom:0.0pt;" stroked="f">
                      <v:path textboxrect="0,0,0,0"/>
                      <v:imagedata r:id="rId88"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有机化合物演示实验箱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普通高中化学课程标准》为依据，结合最新各大版本高中化学课程教材，满足高中化学课程的所有实验。此箱是专为教师及学生完成教材要求的实验而设计，采用高度集成的方法将“有机化合物”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一、实验箱规格描述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1、外形尺寸：箱体470×360×210（±10）mm，壁厚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二、产品组成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由锥形瓶/三角烧瓶*1；标口圆底烧瓶*1；分液漏斗（四氟阀）*1；U形管*1；</w:t>
            </w:r>
            <w:r>
              <w:rPr>
                <w:rFonts w:hint="eastAsia" w:ascii="宋体" w:hAnsi="宋体" w:eastAsia="宋体" w:cs="宋体"/>
                <w:i w:val="0"/>
                <w:iCs w:val="0"/>
                <w:color w:val="000000"/>
                <w:sz w:val="20"/>
                <w:szCs w:val="20"/>
                <w:u w:val="none"/>
                <w:lang w:val="en-US" w:eastAsia="zh-CN" w:bidi="ar"/>
              </w:rPr>
              <w:t xml:space="preserve">玻璃试管*4；磨口试管*1；具支玻璃试管*2；玻璃刻度量筒*1；玻璃刻度量筒*1；螺口塞具支接头*1；直形抽气接头*1；长直角玻璃导管(粗)*2；直角玻璃导管(粗)*1；玻璃烧杯*1；玻璃烧杯*1；玻璃烧杯*1；玻璃培养皿*1；蒸发皿*1；试管塞*2；试管塞*1；玻璃胶头滴管*3；尖嘴导管*1；玻璃直导管*1；双孔硅胶塞*1；硅胶管*1；蓝色石蕊试纸*1；不锈钢尖嘴小镊子*1；竹棒*5；玻璃棒*1；玻璃表面皿*1；广泛PH试纸*1；药匙*3；研钵*1；温度计*1；铜丝*1；有机化合物分子结构模型*1等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三、功能和应用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模拟演示实验：1.乙醇、乙酸的主要性质；2.搭建球棍模型认识有机化合物分子结构的特点；3.乙酸乙酯的制备与性质；4.乙醇与金属钠的反应；5.乙醇在浓硫酸作用下的消去反应；6.乙醇在浓氢溴酸作用下的取代反应；7.乙醇在催化剂作用下被空气氧化；8.乙醇被重铬酸钾溶液氧化；9.石蜡油分解实验；10.聚氯乙烯的性质；11.玻璃粉末的酸碱性测定；12.聚乙烯、聚氯乙烯、聚苯乙烯的区别；13.塑料的热塑性和热固性；14.水的表面张力；15.蛋白质</w:t>
            </w:r>
            <w:r>
              <w:rPr>
                <w:rFonts w:hint="eastAsia" w:ascii="宋体" w:hAnsi="宋体" w:eastAsia="宋体" w:cs="宋体"/>
                <w:i w:val="0"/>
                <w:iCs w:val="0"/>
                <w:color w:val="000000"/>
                <w:sz w:val="20"/>
                <w:szCs w:val="20"/>
                <w:u w:val="none"/>
                <w:lang w:val="en-US" w:eastAsia="zh-CN" w:bidi="ar"/>
              </w:rPr>
              <w:t xml:space="preserve">的性质；16.蔗糖的燃烧；17.葡萄糖的银镜反应实验；18.葡萄糖与新制的氢氧化铜反应实验；19.蔗糖与麦芽糖的水解；20.比较稀硫酸、唾液对淀粉水解速率的影响；21.酚醛树脂的制备及性质；22.酚醛树脂的溶解性实验；23.几种纤维的性质实验；24.蓝瓶子实验；25.石蜡的催化裂化；26.有机化合物中常见官能团的检验；27.乙醇的消去反应；28.糖类的性质；29.葡萄糖、淀粉、蛋白质的特征反应；30.乙醇和氢卤酸反应；31.苯酚与溴水反应；32.苯酚与氯化铁反应；33.卤代烃的水解反应；34.蔗糖溶液、蔗糖</w:t>
            </w:r>
            <w:r>
              <w:rPr>
                <w:rFonts w:hint="eastAsia" w:ascii="宋体" w:hAnsi="宋体" w:eastAsia="宋体" w:cs="宋体"/>
                <w:i w:val="0"/>
                <w:iCs w:val="0"/>
                <w:color w:val="000000"/>
                <w:sz w:val="20"/>
                <w:szCs w:val="20"/>
                <w:u w:val="none"/>
                <w:lang w:val="en-US" w:eastAsia="zh-CN" w:bidi="ar"/>
              </w:rPr>
              <w:t xml:space="preserve">水解液、麦芽糖溶液的还原性比较；35.水解反应趋于完全的条件；36.比较醋酸和碳酸酸性强弱；37.醋酸、硼酸中滴加碳酸钠溶液的现象比较；38.乙醛与新制氢氧化铜反应实验；39.煤的干馏；40.溴丁烷的消去反应；41.乙醛的性质；42.乙醛的银镜反应；43.合成乙酸乙酯；44.乙酸乙酯在酸性、中性和碱性条件下的水解；45.溴乙烷在氢氧化钠溶液中的水解及其产物验证；46.溴乙烷在氢氧化钠乙醇溶液中的消去反应；47.计算聚丙烯酸钠的吸水率；48.芳香族化合物；49.苯酚的性质实验；50.苯酚和氢氧化钠溶液的反应等</w:t>
            </w:r>
            <w:r>
              <w:rPr>
                <w:rFonts w:hint="eastAsia" w:ascii="宋体" w:hAnsi="宋体" w:cs="宋体"/>
                <w:i w:val="0"/>
                <w:iCs w:val="0"/>
                <w:color w:val="000000"/>
                <w:sz w:val="20"/>
                <w:szCs w:val="20"/>
                <w:u w:val="none"/>
                <w:lang w:val="en-US" w:eastAsia="zh-CN" w:bidi="ar"/>
              </w:rPr>
              <w:t xml:space="preserve">50种实验内容</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5940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4570" cy="400050"/>
                      <wp:effectExtent l="0" t="0" r="5080" b="0"/>
                      <wp:docPr id="8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2"/>
                              <pic:cNvPicPr>
                                <a:picLocks noChangeAspect="1"/>
                              </pic:cNvPicPr>
                              <pic:nvPr/>
                            </pic:nvPicPr>
                            <pic:blipFill>
                              <a:blip r:embed="rId89"/>
                              <a:stretch/>
                            </pic:blipFill>
                            <pic:spPr bwMode="auto">
                              <a:xfrm>
                                <a:off x="0" y="0"/>
                                <a:ext cx="100457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9.1pt;height:31.5pt;mso-wrap-distance-left:0.0pt;mso-wrap-distance-top:0.0pt;mso-wrap-distance-right:0.0pt;mso-wrap-distance-bottom:0.0pt;" stroked="f">
                      <v:path textboxrect="0,0,0,0"/>
                      <v:imagedata r:id="rId89" o:title=""/>
                    </v:shape>
                  </w:pict>
                </mc:Fallback>
              </mc:AlternateContent>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生物技术与工程演示实验箱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普通高中生物学教学装备配置标准》为依据，结合最新各大版本高中生物课程教材，满足高中生物课程的大部分实验。此箱是专为教师及学生完成教材要求的实验而设计，采用高度集成的方法将“生物技术与工程”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一、实验箱规格描述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1、外形尺寸：箱体470×360×210（±10）mm，壁厚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二、产品组成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由锥形瓶/三角烧瓶</w:t>
            </w:r>
            <w:r>
              <w:rPr>
                <w:rFonts w:hint="eastAsia" w:ascii="宋体" w:hAnsi="宋体" w:eastAsia="宋体" w:cs="宋体"/>
                <w:i w:val="0"/>
                <w:iCs w:val="0"/>
                <w:color w:val="000000"/>
                <w:sz w:val="20"/>
                <w:szCs w:val="20"/>
                <w:u w:val="none"/>
                <w:lang w:val="en-US" w:eastAsia="zh-CN" w:bidi="ar"/>
              </w:rPr>
              <w:t xml:space="preserve">*1；容量瓶*1；玻璃培养皿*1；玻璃刻度量筒*1；玻璃刻度量筒*1；玻璃烧杯*2；玻璃烧杯*2；短管标准漏斗*1；Y型玻璃三通管*1；玻璃胶头滴管*3；玻璃试管*4；长直角玻璃导管(粗)*1；广泛PH试纸*1；玻璃棒*1；硅胶管*0.3；单孔硅胶塞*1；无孔硅胶塞*1；滤纸*1；玻璃毛细吸管*20；塑料试管*1；瓶装棉球*1；气球*2；纱布*1；离心管（1.5ml）*10；温度计*1；定量吸球*1；吸水纸*100；研钵*1；药匙*3；移液管*1；不锈钢止水夹*1；试管夹*2；比色管*4；尼龙布*1等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三、功能和应用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模拟演示实验：1.DNA的粗提取与鉴定；2.绿叶中色素的提取和分离；3.发酵现象的观察及发酵原理的探究；4.制作泡菜并检测亚硝酸盐含量；5.蔬菜在腌制过程中维生素C含量的变化；6.果汁发酵制作果酒和果醋；7.DNA片段的扩增及电泳鉴定；8.菊花的组织培养；9.胡萝卜的组织培养；10.月季的花药培养等</w:t>
            </w:r>
            <w:r>
              <w:rPr>
                <w:rFonts w:hint="eastAsia" w:ascii="宋体" w:hAnsi="宋体" w:cs="宋体"/>
                <w:i w:val="0"/>
                <w:iCs w:val="0"/>
                <w:color w:val="000000"/>
                <w:sz w:val="20"/>
                <w:szCs w:val="20"/>
                <w:u w:val="none"/>
                <w:lang w:val="en-US" w:eastAsia="zh-CN" w:bidi="ar"/>
              </w:rPr>
              <w:t xml:space="preserve">10种实验内容</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5340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3300" cy="478790"/>
                      <wp:effectExtent l="0" t="0" r="6350" b="16510"/>
                      <wp:docPr id="81"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4"/>
                              <pic:cNvPicPr>
                                <a:picLocks noChangeAspect="1"/>
                              </pic:cNvPicPr>
                              <pic:nvPr/>
                            </pic:nvPicPr>
                            <pic:blipFill>
                              <a:blip r:embed="rId90"/>
                              <a:stretch/>
                            </pic:blipFill>
                            <pic:spPr bwMode="auto">
                              <a:xfrm>
                                <a:off x="0" y="0"/>
                                <a:ext cx="1003300"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9.0pt;height:37.7pt;mso-wrap-distance-left:0.0pt;mso-wrap-distance-top:0.0pt;mso-wrap-distance-right:0.0pt;mso-wrap-distance-bottom:0.0pt;" stroked="f">
                      <v:path textboxrect="0,0,0,0"/>
                      <v:imagedata r:id="rId90"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物理数据采集处理系统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有计算机采集处理分析软件，屏显数据采集器，传感器，可配套专用实验仪器，详细配置如下：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一、屏显数据采集器：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本设备主要与数字化实验系统软件配合使用，用于传感器数据的采集处理，外观采用人体工学设计，美观，实用。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1.多通道一体化设计，支持4通道TYPE-C接口并行采集，不区分模拟通道与数字通道；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2.内置2.0寸TFT显示屏及内置供电模块可脱机使用，可直接显示传感器的数据；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3.采用USB2.0标准传输数据，采用USB-B型接口与PC或者Pad连接之用；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4.采集器模拟采样分辨率12-bits，数字采样分辨率0.1μs，单通道最高采样率200kHz；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5.可以使用USB供电，预留5VDC接口，为采集器提供外部电源及为内部电池充电；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6.所有接口具备防静电TVS，传感器即插即用，不区分模拟和数字通道使用；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7.设备带有1个自锁按键，用于设备的开关机控制；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8.设备带有2个触摸按键，分别为调零按键和显示方向切换按键；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9.可将传感器检测的数值传输给计算机，支持平台：Windows、Android、IOS等系统。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1、力传感器：量程1：-</w:t>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N～+</w:t>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N 分辨率：0.01N；量程2：-</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0N～+</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0N，分辨率：0.1N；软件切换量程，接口为TYPEC接口，连接传感器无需辨认方向。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电流传感器：量程1：-0.2～0.2A，分辨率0.1mA；量程2：-1～1A，分辨率1mA；量程3：-5～5A，分辨率0.01A；软件切换量程，接口为TYPEC接口，连接传感器无需辨认方向。3、电压传感器：量程1：-1～1V，分辨率0.001V；量程2：-5～5V，分辨率0.01V；量程3：-10～10V，分辨率0.02V；量程4：-25～25V，分辨率0.05V；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微电流传感器：量程1：-</w:t>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μA～+</w:t>
            </w: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μA，分辨率:0.01μA；量程2：-</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0μA～+</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0μA/分辨率:0.1μA；量程3：-</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00μA～+</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00μA/分辨率:1μA；软件切换量程，接口为TYPEC接口，连接传感器无需辨认方向。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5、磁感应强度传感器：量程1：-</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mT～+2mT ；分辨率：0.001mT；量程2：-</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mT～+</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mT；分辨率：0.01mT； 量程3：-</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0mT～+</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0mT；分辨率：0.01mT；量程4：-</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0mT～+</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0mT；分辨率：0.1mT；软件切换量程，接口为TYPEC接口，连接传感器无需辨认方向。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6、气体压强传感器：量程： 0～700kPa，分辨率0.1kPa；接口为TYPEC接口，连接传感器无需辨认方向。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7、声音传感器：音频量程：20～20KHz的声音，分辨率:0.1 Hz；声强量程：30～140dB，分辨率：0.1dB；接口为TYPEC接口，连接传感器无需辨认方向。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8、温度传感器：量程：-80℃～+200℃；分辨率：0.1℃；接口为TYPEC接口，连接传感器无需辨认方向。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9、光电门传感器（2只）：分辨率1μS，支持多种工作模式：I、U型挡光；运动计时模式；单摆计时方式等，接口为TYPEC接口，连接传感器无需辨认方向。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10、分体式位移传感器（发射与接收）：量程：0m～3m  分辨率：1mm；接口为TYPEC接口，连接传感器无需辨认方向。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t xml:space="preserve">光照度传感器：</w:t>
            </w:r>
            <w:r>
              <w:rPr>
                <w:rFonts w:hint="eastAsia" w:ascii="宋体" w:hAnsi="宋体" w:eastAsia="宋体" w:cs="宋体"/>
                <w:i w:val="0"/>
                <w:iCs w:val="0"/>
                <w:color w:val="000000"/>
                <w:sz w:val="20"/>
                <w:szCs w:val="20"/>
                <w:u w:val="none"/>
                <w:lang w:val="en-US" w:eastAsia="zh-CN" w:bidi="ar"/>
              </w:rPr>
              <w:t xml:space="preserve">量程1：0～600Lux，分辨率0.01Lux；量程2：0～1300Lux，分辨率0.02Lux；量程3：0～8000Lux，分辨率0.1Lux；量程4：0～16000Lux，分辨率0.2Lux；量程5：0～64000Lux，分辨率1Lux；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12、高强度铝合金箱：高强度CB铝合金型材框架，内部缓冲海绵传感器定位嵌槽装置，USB数据线1根，TYPEC传感器数据线6根，用户手册。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3935" cy="1088390"/>
                      <wp:effectExtent l="0" t="0" r="5715" b="16510"/>
                      <wp:docPr id="8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5"/>
                              <pic:cNvPicPr>
                                <a:picLocks noChangeAspect="1"/>
                              </pic:cNvPicPr>
                              <pic:nvPr/>
                            </pic:nvPicPr>
                            <pic:blipFill>
                              <a:blip r:embed="rId91"/>
                              <a:stretch/>
                            </pic:blipFill>
                            <pic:spPr bwMode="auto">
                              <a:xfrm>
                                <a:off x="0" y="0"/>
                                <a:ext cx="1003935" cy="108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9.0pt;height:85.7pt;mso-wrap-distance-left:0.0pt;mso-wrap-distance-top:0.0pt;mso-wrap-distance-right:0.0pt;mso-wrap-distance-bottom:0.0pt;" stroked="f">
                      <v:path textboxrect="0,0,0,0"/>
                      <v:imagedata r:id="rId91" o:title=""/>
                    </v:shape>
                  </w:pict>
                </mc:Fallback>
              </mc:AlternateConten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生化数据采集处理系统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top"/>
            <w:textDirection w:val="lrTb"/>
            <w:noWrap w:val="false"/>
          </w:tcPr>
          <w:p>
            <w:pPr>
              <w:jc w:val="left"/>
              <w:keepLines w:val="0"/>
              <w:keepNext w:val="0"/>
              <w:widowControl/>
              <w:rPr>
                <w:rStyle w:val="1080"/>
                <w:rFonts w:hint="eastAsia" w:ascii="宋体" w:hAnsi="宋体" w:eastAsia="宋体" w:cs="宋体"/>
                <w:b w:val="0"/>
                <w:bCs w:val="0"/>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有计算机采集处理分析软件，屏显数据采集器，传感器，可配套专用实验仪器，详细配置如下：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一、屏显数据采集器：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1.多通道一体化设计，支持4通道TYPE-C接口并行采集，不区分模拟通道与数字通道；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2.内置2.0寸TFT显示屏及内置供电模块可脱机使用，可直接显示传感器的数据；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3.采用USB2.0标准传输数据，采用USB-B型接口与PC或者Pad连接之用；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4.采集器模拟采样分辨率12-bits，数字采样分辨率0.1μs，单通道最高采样率200kHz；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5.可以使用USB供电，预留5VDC接口，为采集器提供外部电源及为内部电池充电；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6.所有接口具备防静电TVS，传感器即插即用，不区分模拟和数字通道使用；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7.设备带有1个自锁按键，用于设备的开关机控制；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8.设备带有2个触摸按键，分别为调零按键和显示方向切换按键；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9.可将传感器检测的数值传输给计算机，支持平台：Windows、Android、IOS等系统。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1、电压传感器：量程1：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～1V，分辨率0.001V；量程2：-</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V，分辨率0.01V；量程3：-</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V，分辨率0.02V；量程4：-25～25V，分辨率0.05V；软件切换量程，接口为TYPEC接口，连接传感器无需辨认方向。</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温度传感器：量程：-80℃～+200℃；分辨率：0.1℃；接口为TYPEC接口，连接传感器无需辨认方向。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微气压传感器：量程：-10～+10kPa分辨率：0.01kPa；接口为TYPEC接口，连接传感器无需辨认方向。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氧气传感器：量程：0～100%  ；分辨率：0.1%；接口为TYPEC接口，连接传感器无需辨认方向。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pH传感器：量程：0～14   分辨率： 0.01；接口为TYPEC接口，连接传感器无需辨认方向。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电导率传感器：量程1：0～</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000μS/cm，分辨率：1μS/cm；量程2：0～</w:t>
            </w:r>
            <w:r>
              <w:rPr>
                <w:rFonts w:hint="eastAsia" w:ascii="宋体" w:hAnsi="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lang w:val="en-US" w:eastAsia="zh-CN" w:bidi="ar"/>
              </w:rPr>
              <w:t xml:space="preserve">000μS/cm，分辨率：10μS/cm；量程3：0-</w:t>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0000uS/cm  分辨率：100μS/cm；软件切换量程，接口为TYPEC接口，连接传感器无需辨认方向。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电流传感器：量程1：-0.</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A，分辨率0.1mA；量程2：</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～1A，分辨率1mA；量程3：-</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A，分辨率0.01A；软件切换量程，接口为TYPEC接口，连接传感器无需辨认方向。</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8、高温传感器：量程：-40℃～+1200℃；分辨率：1℃；接口为TYPEC接口，连接传感器无需辨认方向。</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溶解氧传感器：量程:0～20mg/L；  分辨率0.01 mg/L；接口为TYPEC接口，连接传感器无需辨认方向。(支持有线通讯和无线通讯方式，可在windows和安卓系统下进行实验)</w:t>
            </w:r>
            <w:r/>
          </w:p>
          <w:p>
            <w:pPr>
              <w:numPr>
                <w:ilvl w:val="0"/>
                <w:numId w:val="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10、高强度铝合金箱：高强度CB铝合金型材框架，内部缓冲海绵传感器定位嵌槽装置，USB数据线1根，TYPEC传感器数据线6根，用户手册。 </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18"/>
                <w:szCs w:val="18"/>
                <w:u w:val="none"/>
                <w:lang w:val="en-US" w:eastAsia="zh-CN" w:bidi="ar"/>
              </w:rPr>
              <w:t xml:space="preserve">11560</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003935" cy="1088390"/>
                      <wp:effectExtent l="0" t="0" r="5715" b="16510"/>
                      <wp:docPr id="8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5"/>
                              <pic:cNvPicPr>
                                <a:picLocks noChangeAspect="1"/>
                              </pic:cNvPicPr>
                              <pic:nvPr/>
                            </pic:nvPicPr>
                            <pic:blipFill>
                              <a:blip r:embed="rId91"/>
                              <a:stretch/>
                            </pic:blipFill>
                            <pic:spPr bwMode="auto">
                              <a:xfrm>
                                <a:off x="0" y="0"/>
                                <a:ext cx="1003935" cy="108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9.0pt;height:85.7pt;mso-wrap-distance-left:0.0pt;mso-wrap-distance-top:0.0pt;mso-wrap-distance-right:0.0pt;mso-wrap-distance-bottom:0.0pt;" stroked="f">
                      <v:path textboxrect="0,0,0,0"/>
                      <v:imagedata r:id="rId91" o:title=""/>
                    </v:shape>
                  </w:pict>
                </mc:Fallback>
              </mc:AlternateContent>
            </w:r>
            <w:r/>
          </w:p>
        </w:tc>
      </w:tr>
    </w:tbl>
    <w:p>
      <w:pPr>
        <w:ind w:firstLine="482"/>
        <w:spacing w:before="120" w:after="120" w:line="360" w:lineRule="auto"/>
        <w:rPr>
          <w:rFonts w:hint="eastAsia" w:ascii="宋体" w:hAnsi="宋体" w:eastAsia="宋体" w:cs="宋体"/>
          <w:b/>
          <w:bCs/>
          <w:i w:val="0"/>
          <w:iCs w:val="0"/>
          <w:color w:val="000000"/>
          <w:sz w:val="24"/>
          <w:szCs w:val="24"/>
          <w:highlight w:val="none"/>
          <w:u w:val="single"/>
          <w:lang w:val="en-US" w:eastAsia="zh-CN" w:bidi="ar"/>
        </w:rPr>
      </w:pPr>
      <w:r>
        <w:rPr>
          <w:rFonts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val="en-US" w:eastAsia="zh-CN"/>
        </w:rPr>
        <w:t xml:space="preserve">核心产品：</w:t>
      </w:r>
      <w:r>
        <w:rPr>
          <w:rFonts w:hint="eastAsia" w:ascii="宋体" w:hAnsi="宋体" w:eastAsia="宋体" w:cs="宋体"/>
          <w:b/>
          <w:bCs/>
          <w:i w:val="0"/>
          <w:iCs w:val="0"/>
          <w:color w:val="000000"/>
          <w:sz w:val="24"/>
          <w:szCs w:val="24"/>
          <w:highlight w:val="none"/>
          <w:u w:val="single"/>
          <w:lang w:val="en-US" w:eastAsia="zh-CN" w:bidi="ar"/>
        </w:rPr>
        <w:t xml:space="preserve">实验桌</w:t>
      </w:r>
      <w:r/>
    </w:p>
    <w:p>
      <w:pPr>
        <w:numPr>
          <w:ilvl w:val="0"/>
          <w:numId w:val="9"/>
        </w:numPr>
        <w:ind w:firstLine="482"/>
        <w:spacing w:before="120" w:after="120" w:line="360" w:lineRule="auto"/>
        <w:rPr>
          <w:rFonts w:hint="eastAsia" w:ascii="宋体" w:hAnsi="宋体" w:cs="宋体"/>
          <w:b/>
          <w:bCs/>
          <w:i w:val="0"/>
          <w:iCs w:val="0"/>
          <w:color w:val="000000"/>
          <w:sz w:val="24"/>
          <w:szCs w:val="24"/>
          <w:highlight w:val="none"/>
          <w:u w:val="single"/>
          <w:lang w:val="en-US" w:eastAsia="zh-CN" w:bidi="ar"/>
        </w:rPr>
      </w:pPr>
      <w:r>
        <w:rPr>
          <w:rFonts w:hint="eastAsia" w:ascii="宋体" w:hAnsi="宋体" w:cs="宋体"/>
          <w:b/>
          <w:bCs/>
          <w:i w:val="0"/>
          <w:iCs w:val="0"/>
          <w:color w:val="000000"/>
          <w:sz w:val="24"/>
          <w:szCs w:val="24"/>
          <w:highlight w:val="none"/>
          <w:u w:val="single"/>
          <w:lang w:val="en-US" w:eastAsia="zh-CN" w:bidi="ar"/>
        </w:rPr>
        <w:t xml:space="preserve">图纸</w:t>
      </w:r>
      <w:r/>
    </w:p>
    <w:p>
      <w:pPr>
        <w:numPr>
          <w:ilvl w:val="0"/>
          <w:numId w:val="0"/>
        </w:numPr>
        <w:spacing w:before="120" w:after="120" w:line="360" w:lineRule="auto"/>
      </w:pPr>
      <w:r>
        <mc:AlternateContent>
          <mc:Choice Requires="wpg">
            <w:drawing>
              <wp:inline xmlns:wp="http://schemas.openxmlformats.org/drawingml/2006/wordprocessingDrawing" distT="0" distB="0" distL="0" distR="0">
                <wp:extent cx="5809615" cy="4170680"/>
                <wp:effectExtent l="0" t="0" r="635" b="1270"/>
                <wp:docPr id="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
                        <pic:cNvPicPr>
                          <a:picLocks noChangeAspect="1"/>
                        </pic:cNvPicPr>
                        <pic:nvPr/>
                      </pic:nvPicPr>
                      <pic:blipFill>
                        <a:blip r:embed="rId92"/>
                        <a:stretch/>
                      </pic:blipFill>
                      <pic:spPr bwMode="auto">
                        <a:xfrm>
                          <a:off x="0" y="0"/>
                          <a:ext cx="5809615" cy="4170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7.4pt;height:328.4pt;mso-wrap-distance-left:0.0pt;mso-wrap-distance-top:0.0pt;mso-wrap-distance-right:0.0pt;mso-wrap-distance-bottom:0.0pt;" stroked="f">
                <v:path textboxrect="0,0,0,0"/>
                <v:imagedata r:id="rId92" o:title=""/>
              </v:shape>
            </w:pict>
          </mc:Fallback>
        </mc:AlternateContent>
      </w:r>
      <w:r/>
    </w:p>
    <w:p>
      <w:pPr>
        <w:numPr>
          <w:ilvl w:val="0"/>
          <w:numId w:val="0"/>
        </w:numPr>
        <w:spacing w:before="120" w:after="120" w:line="360" w:lineRule="auto"/>
        <w:rPr>
          <w:rFonts w:hint="default"/>
          <w:lang w:val="en-US" w:eastAsia="zh-CN"/>
        </w:rPr>
      </w:pPr>
      <w:r>
        <mc:AlternateContent>
          <mc:Choice Requires="wpg">
            <w:drawing>
              <wp:inline xmlns:wp="http://schemas.openxmlformats.org/drawingml/2006/wordprocessingDrawing" distT="0" distB="0" distL="0" distR="0">
                <wp:extent cx="5591810" cy="3962400"/>
                <wp:effectExtent l="0" t="0" r="8890" b="0"/>
                <wp:docPr id="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8"/>
                        <pic:cNvPicPr>
                          <a:picLocks noChangeAspect="1"/>
                        </pic:cNvPicPr>
                        <pic:nvPr/>
                      </pic:nvPicPr>
                      <pic:blipFill>
                        <a:blip r:embed="rId93"/>
                        <a:stretch/>
                      </pic:blipFill>
                      <pic:spPr bwMode="auto">
                        <a:xfrm>
                          <a:off x="0" y="0"/>
                          <a:ext cx="5591810" cy="396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40.3pt;height:312.0pt;mso-wrap-distance-left:0.0pt;mso-wrap-distance-top:0.0pt;mso-wrap-distance-right:0.0pt;mso-wrap-distance-bottom:0.0pt;" stroked="f">
                <v:path textboxrect="0,0,0,0"/>
                <v:imagedata r:id="rId93" o:title=""/>
              </v:shape>
            </w:pict>
          </mc:Fallback>
        </mc:AlternateContent>
      </w:r>
      <w:r>
        <mc:AlternateContent>
          <mc:Choice Requires="wpg">
            <w:drawing>
              <wp:inline xmlns:wp="http://schemas.openxmlformats.org/drawingml/2006/wordprocessingDrawing" distT="0" distB="0" distL="0" distR="0">
                <wp:extent cx="5938520" cy="3545205"/>
                <wp:effectExtent l="0" t="0" r="5080" b="17145"/>
                <wp:docPr id="8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pic:cNvPicPr>
                          <a:picLocks noChangeAspect="1"/>
                        </pic:cNvPicPr>
                        <pic:nvPr/>
                      </pic:nvPicPr>
                      <pic:blipFill>
                        <a:blip r:embed="rId94"/>
                        <a:stretch/>
                      </pic:blipFill>
                      <pic:spPr bwMode="auto">
                        <a:xfrm>
                          <a:off x="0" y="0"/>
                          <a:ext cx="5938520" cy="354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67.6pt;height:279.1pt;mso-wrap-distance-left:0.0pt;mso-wrap-distance-top:0.0pt;mso-wrap-distance-right:0.0pt;mso-wrap-distance-bottom:0.0pt;" stroked="f">
                <v:path textboxrect="0,0,0,0"/>
                <v:imagedata r:id="rId94" o:title=""/>
              </v:shape>
            </w:pict>
          </mc:Fallback>
        </mc:AlternateContent>
      </w:r>
      <w:r>
        <mc:AlternateContent>
          <mc:Choice Requires="wpg">
            <w:drawing>
              <wp:inline xmlns:wp="http://schemas.openxmlformats.org/drawingml/2006/wordprocessingDrawing" distT="0" distB="0" distL="0" distR="0">
                <wp:extent cx="6180455" cy="4412615"/>
                <wp:effectExtent l="0" t="0" r="10795" b="6985"/>
                <wp:docPr id="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
                        <pic:cNvPicPr>
                          <a:picLocks noChangeAspect="1"/>
                        </pic:cNvPicPr>
                        <pic:nvPr/>
                      </pic:nvPicPr>
                      <pic:blipFill>
                        <a:blip r:embed="rId95"/>
                        <a:stretch/>
                      </pic:blipFill>
                      <pic:spPr bwMode="auto">
                        <a:xfrm>
                          <a:off x="0" y="0"/>
                          <a:ext cx="6180455" cy="441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6.6pt;height:347.4pt;mso-wrap-distance-left:0.0pt;mso-wrap-distance-top:0.0pt;mso-wrap-distance-right:0.0pt;mso-wrap-distance-bottom:0.0pt;" stroked="f">
                <v:path textboxrect="0,0,0,0"/>
                <v:imagedata r:id="rId95" o:title=""/>
              </v:shape>
            </w:pict>
          </mc:Fallback>
        </mc:AlternateContent>
      </w:r>
      <w:r>
        <mc:AlternateContent>
          <mc:Choice Requires="wpg">
            <w:drawing>
              <wp:inline xmlns:wp="http://schemas.openxmlformats.org/drawingml/2006/wordprocessingDrawing" distT="0" distB="0" distL="0" distR="0">
                <wp:extent cx="6110605" cy="4344670"/>
                <wp:effectExtent l="0" t="0" r="4445" b="17780"/>
                <wp:docPr id="8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
                        <pic:cNvPicPr>
                          <a:picLocks noChangeAspect="1"/>
                        </pic:cNvPicPr>
                        <pic:nvPr/>
                      </pic:nvPicPr>
                      <pic:blipFill>
                        <a:blip r:embed="rId96"/>
                        <a:stretch/>
                      </pic:blipFill>
                      <pic:spPr bwMode="auto">
                        <a:xfrm>
                          <a:off x="0" y="0"/>
                          <a:ext cx="6110605" cy="434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81.1pt;height:342.1pt;mso-wrap-distance-left:0.0pt;mso-wrap-distance-top:0.0pt;mso-wrap-distance-right:0.0pt;mso-wrap-distance-bottom:0.0pt;" stroked="f">
                <v:path textboxrect="0,0,0,0"/>
                <v:imagedata r:id="rId96" o:title=""/>
              </v:shape>
            </w:pict>
          </mc:Fallback>
        </mc:AlternateContent>
      </w:r>
      <w:r/>
    </w:p>
    <w:p>
      <w:pPr>
        <w:ind w:firstLine="482"/>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before="120" w:after="120"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二、商务要求</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0"/>
        </w:numPr>
        <w:ind w:left="480"/>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本次招标的设备应提供不低于</w:t>
      </w:r>
      <w:r>
        <w:rPr>
          <w:rFonts w:hint="eastAsia" w:ascii="宋体" w:hAnsi="宋体"/>
          <w:bCs/>
          <w:color w:val="auto"/>
          <w:sz w:val="24"/>
          <w:highlight w:val="none"/>
          <w:lang w:eastAsia="zh-CN"/>
        </w:rPr>
        <w:t xml:space="preserve">二</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0"/>
        </w:numPr>
        <w:ind w:left="480"/>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0"/>
        </w:numPr>
        <w:ind w:left="0" w:firstLine="480"/>
        <w:spacing w:line="360" w:lineRule="auto"/>
        <w:rPr>
          <w:rFonts w:ascii="宋体" w:hAnsi="宋体"/>
          <w:bCs/>
          <w:color w:val="auto"/>
          <w:sz w:val="24"/>
          <w:highlight w:val="none"/>
        </w:rPr>
      </w:pPr>
      <w:r>
        <w:rPr>
          <w:rFonts w:hint="eastAsia" w:ascii="宋体" w:hAnsi="宋体" w:cs="Times New Roman"/>
          <w:bCs/>
          <w:color w:val="auto"/>
          <w:sz w:val="24"/>
          <w:lang w:val="en-US" w:eastAsia="zh-CN" w:bidi="ar-SA"/>
        </w:rPr>
        <w:t xml:space="preserve">（3）</w:t>
      </w: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0"/>
        </w:numPr>
        <w:ind w:left="0" w:firstLine="480"/>
        <w:spacing w:line="360" w:lineRule="auto"/>
        <w:rPr>
          <w:rFonts w:ascii="宋体" w:hAnsi="宋体"/>
          <w:bCs/>
          <w:color w:val="auto"/>
          <w:sz w:val="24"/>
          <w:highlight w:val="none"/>
        </w:rPr>
      </w:pPr>
      <w:r>
        <w:rPr>
          <w:rFonts w:hint="eastAsia" w:ascii="宋体" w:hAnsi="宋体" w:cs="Times New Roman"/>
          <w:bCs/>
          <w:color w:val="auto"/>
          <w:sz w:val="24"/>
          <w:lang w:val="en-US" w:eastAsia="zh-CN" w:bidi="ar-SA"/>
        </w:rPr>
        <w:t xml:space="preserve">（4）</w:t>
      </w: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采购人</w:t>
      </w:r>
      <w:r>
        <w:rPr>
          <w:rFonts w:hint="eastAsia" w:ascii="宋体" w:hAnsi="宋体"/>
          <w:bCs/>
          <w:color w:val="auto"/>
          <w:sz w:val="24"/>
          <w:highlight w:val="none"/>
        </w:rPr>
        <w:t xml:space="preserve">指定地点。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：合同签订之日起</w:t>
      </w:r>
      <w:r>
        <w:rPr>
          <w:rFonts w:hint="eastAsia" w:ascii="宋体" w:hAnsi="宋体"/>
          <w:bCs/>
          <w:color w:val="auto"/>
          <w:sz w:val="24"/>
          <w:highlight w:val="none"/>
          <w:lang w:val="en-US" w:eastAsia="zh-CN"/>
        </w:rPr>
        <w:t xml:space="preserve">40</w:t>
      </w:r>
      <w:r>
        <w:rPr>
          <w:rFonts w:hint="eastAsia" w:ascii="宋体" w:hAnsi="宋体"/>
          <w:bCs/>
          <w:color w:val="auto"/>
          <w:sz w:val="24"/>
          <w:highlight w:val="none"/>
        </w:rPr>
        <w:t xml:space="preserve">日内完成供货及安装。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：采购人根据国家有关规定、招投标文件以及合同约定的内容于货到安装调试合格后组织验收，具体验收办法详见《宜兴市政府采购项目履约验收管理办法》（宜财办〔2016〕20号）。</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rPr>
        <w:t xml:space="preserve">5、</w:t>
      </w:r>
      <w:r>
        <w:rPr>
          <w:rFonts w:hint="eastAsia" w:ascii="宋体" w:hAnsi="宋体"/>
          <w:b/>
          <w:color w:val="auto"/>
          <w:sz w:val="24"/>
          <w:highlight w:val="none"/>
        </w:rPr>
        <w:t xml:space="preserve">付款步骤</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到货安装调试后支付50%，验收合格后支付剩余的50%。</w:t>
      </w:r>
      <w:r/>
    </w:p>
    <w:p>
      <w:pPr>
        <w:ind w:firstLine="48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6、其他要求：</w:t>
      </w:r>
      <w:r>
        <w:rPr>
          <w:rFonts w:hint="eastAsia" w:ascii="宋体" w:hAnsi="宋体" w:eastAsia="宋体" w:cs="Times New Roman"/>
          <w:bCs/>
          <w:color w:val="auto"/>
          <w:sz w:val="24"/>
          <w:highlight w:val="none"/>
          <w:lang w:val="en-US" w:eastAsia="zh-CN"/>
        </w:rPr>
        <w:t xml:space="preserve">（1）投标报价应包含货物或服务的设计、制造、包装、专利技术、仓储、运输装缷、保险、指导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（2）投标人一旦中标后，如因市场变化、政策性调整等因素导致投标成本的变化，投标报价将不会得到调整。</w:t>
      </w:r>
      <w:r/>
    </w:p>
    <w:p>
      <w:pPr>
        <w:rPr>
          <w:rFonts w:hint="eastAsia" w:ascii="黑体" w:hAnsi="黑体" w:eastAsia="黑体"/>
          <w:sz w:val="28"/>
          <w:highlight w:val="none"/>
        </w:rPr>
      </w:pPr>
      <w:r>
        <w:rPr>
          <w:rFonts w:hint="eastAsia" w:ascii="黑体" w:hAnsi="黑体" w:eastAsia="黑体"/>
          <w:sz w:val="28"/>
          <w:highlight w:val="none"/>
        </w:rPr>
        <w:br w:type="page" w:clear="all"/>
      </w:r>
      <w:r/>
    </w:p>
    <w:p>
      <w:pPr>
        <w:pStyle w:val="1049"/>
        <w:spacing w:line="360" w:lineRule="auto"/>
        <w:rPr>
          <w:rFonts w:hint="eastAsia" w:ascii="Times New Roman" w:hAnsi="Times New Roman" w:eastAsia="宋体" w:cs="Times New Roman"/>
          <w:highlight w:val="none"/>
        </w:rPr>
      </w:pPr>
      <w:r/>
      <w:bookmarkStart w:id="96" w:name="_Toc178"/>
      <w:r>
        <w:rPr>
          <w:rFonts w:hint="eastAsia" w:ascii="Times New Roman" w:hAnsi="Times New Roman" w:eastAsia="宋体" w:cs="Times New Roman"/>
          <w:highlight w:val="none"/>
        </w:rPr>
        <w:t xml:space="preserve">第四章 评审方法和标准</w:t>
      </w:r>
      <w:bookmarkEnd w:id="95"/>
      <w:r/>
      <w:bookmarkEnd w:id="96"/>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一、评分项目（总分100分）</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技术商务部分</w:t>
            </w:r>
            <w:r/>
          </w:p>
        </w:tc>
        <w:tc>
          <w:tcPr>
            <w:tcW w:w="57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 65</w:t>
            </w:r>
            <w:r>
              <w:rPr>
                <w:rFonts w:hint="eastAsia" w:ascii="宋体" w:hAnsi="宋体"/>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价格部分</w:t>
            </w:r>
            <w:r/>
          </w:p>
        </w:tc>
        <w:tc>
          <w:tcPr>
            <w:tcW w:w="57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35</w:t>
            </w:r>
            <w:r>
              <w:rPr>
                <w:rFonts w:hint="eastAsia" w:ascii="宋体" w:hAnsi="宋体"/>
                <w:sz w:val="24"/>
                <w:szCs w:val="24"/>
                <w:highlight w:val="none"/>
              </w:rPr>
              <w:t xml:space="preserve">分</w:t>
            </w:r>
            <w:r/>
          </w:p>
        </w:tc>
      </w:tr>
    </w:tbl>
    <w:p>
      <w:pPr>
        <w:jc w:val="left"/>
        <w:spacing w:line="360" w:lineRule="auto"/>
        <w:rPr>
          <w:rFonts w:ascii="宋体" w:hAnsi="宋体"/>
          <w:sz w:val="24"/>
          <w:szCs w:val="24"/>
          <w:highlight w:val="none"/>
        </w:rPr>
      </w:pPr>
      <w:r>
        <w:rPr>
          <w:rFonts w:hint="eastAsia" w:ascii="宋体" w:hAnsi="宋体"/>
          <w:sz w:val="24"/>
          <w:szCs w:val="24"/>
          <w:highlight w:val="none"/>
        </w:rPr>
        <w:t xml:space="preserve">二、评审内容：</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1、技术商务部分</w:t>
      </w:r>
      <w:r/>
    </w:p>
    <w:tbl>
      <w:tblPr>
        <w:tblStyle w:val="874"/>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666"/>
        <w:gridCol w:w="1173"/>
        <w:gridCol w:w="806"/>
        <w:gridCol w:w="6179"/>
      </w:tblGrid>
      <w:tr>
        <w:trPr>
          <w:jc w:val="center"/>
          <w:trHeight w:val="1250"/>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4" w:space="0"/>
              <w:left w:val="single" w:color="auto" w:sz="4" w:space="0"/>
              <w:right w:val="single" w:color="auto" w:sz="4" w:space="0"/>
            </w:tcBorders>
            <w:tcW w:w="8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17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jc w:val="center"/>
          <w:trHeight w:val="3703"/>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技术部分(54</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项目措施实施方案</w:t>
            </w:r>
            <w:r/>
          </w:p>
        </w:tc>
        <w:tc>
          <w:tcPr>
            <w:shd w:val="clear" w:color="auto" w:fill="auto"/>
            <w:tcBorders>
              <w:top w:val="single" w:color="auto" w:sz="4" w:space="0"/>
              <w:left w:val="single" w:color="auto" w:sz="4" w:space="0"/>
              <w:right w:val="single" w:color="auto" w:sz="4" w:space="0"/>
            </w:tcBorders>
            <w:tcW w:w="8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179" w:type="dxa"/>
            <w:vAlign w:val="top"/>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投标人根据项目需求提供项目实施方案,包含：1.实施方案及难点分析及项目实施计划；2.进度安排及保障措施；3.供货安装及调试方案；4.人力配备情况。</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1、上述每项内容阐述全面完整，实施方案内容详细具体，措施科学合理，完全符合采购需求，得12分；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2、上述每项内容阐述基本全面完整，实施方案满足采购要求及内容，有具体实施技术方案，有详细说明及具体的措施和流程，措施较科学合理，基本符合采购需求，得8分；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3、上述每项内容阐述不完整，应对措施缺乏可操作性，脱离采购需求实际的，得4分。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4、不提供不得分。</w:t>
            </w:r>
            <w:r/>
          </w:p>
        </w:tc>
      </w:tr>
      <w:tr>
        <w:trPr>
          <w:jc w:val="center"/>
          <w:trHeight w:val="90"/>
        </w:trPr>
        <w:tc>
          <w:tcPr>
            <w:tcBorders>
              <w:left w:val="single" w:color="auto" w:sz="4" w:space="0"/>
              <w:right w:val="single" w:color="auto" w:sz="4" w:space="0"/>
            </w:tcBorders>
            <w:tcW w:w="752"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项目方案布局的科学性和完整性</w:t>
            </w:r>
            <w:r/>
          </w:p>
        </w:tc>
        <w:tc>
          <w:tcPr>
            <w:shd w:val="clear" w:color="auto" w:fill="auto"/>
            <w:tcBorders>
              <w:top w:val="single" w:color="auto" w:sz="4" w:space="0"/>
              <w:left w:val="single" w:color="auto" w:sz="4" w:space="0"/>
              <w:right w:val="single" w:color="auto" w:sz="4" w:space="0"/>
            </w:tcBorders>
            <w:tcW w:w="8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6179" w:type="dxa"/>
            <w:vAlign w:val="top"/>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根据投标人所投理化生实验室设备特点及项目需求对实验室室内布置要求的总体设计方案包含：1、平面布置图；2、效果图；3、水电施工图；4、通风施工图。</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1、上述每项内容阐述全面完整，布局方案内容详细具体，图纸科学合理，完全符合采购需求，得15分；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2、上述每项内容对阐述基本全面完整，实施方案满足采购要求及内容，有具体实施技术方案，图纸较科学合理，基本符合采购需求，得10分；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3、上述每项内容阐述不完整，布局缺乏可操作性，脱离采购需求实际的，得5分。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4、无相应的方案不得分。</w:t>
            </w:r>
            <w:r/>
          </w:p>
        </w:tc>
      </w:tr>
      <w:tr>
        <w:trPr>
          <w:jc w:val="center"/>
          <w:trHeight w:val="90"/>
        </w:trPr>
        <w:tc>
          <w:tcPr>
            <w:tcBorders>
              <w:left w:val="single" w:color="auto" w:sz="4" w:space="0"/>
              <w:right w:val="single" w:color="auto" w:sz="4" w:space="0"/>
            </w:tcBorders>
            <w:tcW w:w="752" w:type="dxa"/>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0" w:type="auto"/>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培训方案</w:t>
            </w:r>
            <w:r/>
          </w:p>
        </w:tc>
        <w:tc>
          <w:tcPr>
            <w:shd w:val="clear" w:color="auto" w:fill="auto"/>
            <w:tcW w:w="8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shd w:val="clear" w:color="auto" w:fill="auto"/>
            <w:tcW w:w="6179" w:type="dxa"/>
            <w:vAlign w:val="top"/>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针对本项目所提供的产品的使用和日常维护的培训计划及方案，包含1.培训课程内容；2.培训课时安排。</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1、上述每项内容阐述全面完整，投标人提供的产品使用和日常维护的培训计划内容齐全，优于或完全满足采购实际需求的，得6分；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2、上述每项内容对阐述基本全面完整，产品的使用和日常维护的培训计划简单有瑕疵，内容有漏项、无细节性描述的，得4分； </w:t>
            </w:r>
            <w:r/>
          </w:p>
          <w:p>
            <w:pPr>
              <w:numPr>
                <w:ilvl w:val="0"/>
                <w:numId w:val="10"/>
              </w:num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上述每项内容阐述不完整，应对措施缺乏可操作性，脱离采购需求实际的，得2分。</w:t>
            </w:r>
            <w:r/>
          </w:p>
          <w:p>
            <w:pPr>
              <w:numPr>
                <w:ilvl w:val="0"/>
                <w:numId w:val="0"/>
              </w:num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不提供不得分。</w:t>
            </w:r>
            <w:r/>
          </w:p>
        </w:tc>
      </w:tr>
      <w:tr>
        <w:trPr>
          <w:jc w:val="center"/>
          <w:trHeight w:val="3163"/>
        </w:trPr>
        <w:tc>
          <w:tcPr>
            <w:tcBorders>
              <w:left w:val="single" w:color="auto" w:sz="4" w:space="0"/>
              <w:right w:val="single" w:color="auto" w:sz="4" w:space="0"/>
            </w:tcBorders>
            <w:tcW w:w="752" w:type="dxa"/>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66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tc>
        <w:tc>
          <w:tcPr>
            <w:shd w:val="clear" w:color="auto" w:fill="auto"/>
            <w:tcW w:w="8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179" w:type="dxa"/>
            <w:vAlign w:val="top"/>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根据投标人提供的售后服务方案，包括1.服务内容；2.技术人员保障服务电话；3.故障解决方案。</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1、上述每项内容阐述全面完整，解决措施全面科学、响应时间迅速，内容丰富，科学合理，可操作性强的，得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2、上述每项内容对阐述基本全面完整，故障解决措施一般、响应时间慢，内容一般，可操作性差，得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3、上述每项内容阐述不完整，应对措施缺乏可操作性，脱离采购需求实际的，得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4、不提供不得分。</w:t>
            </w:r>
            <w:r/>
          </w:p>
        </w:tc>
      </w:tr>
      <w:tr>
        <w:trPr>
          <w:jc w:val="center"/>
          <w:trHeight w:val="1464"/>
        </w:trPr>
        <w:tc>
          <w:tcPr>
            <w:tcBorders>
              <w:left w:val="single" w:color="auto" w:sz="4" w:space="0"/>
              <w:right w:val="single" w:color="auto" w:sz="4" w:space="0"/>
            </w:tcBorders>
            <w:tcW w:w="752" w:type="dxa"/>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666"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1173" w:type="dxa"/>
            <w:vAlign w:val="center"/>
            <w:textDirection w:val="lrTb"/>
            <w:noWrap w:val="false"/>
          </w:tcPr>
          <w:p>
            <w:pPr>
              <w:contextualSpacing/>
              <w:jc w:val="center"/>
              <w:spacing w:after="0"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产品技术分</w:t>
            </w:r>
            <w:r/>
          </w:p>
        </w:tc>
        <w:tc>
          <w:tcPr>
            <w:shd w:val="clear" w:color="auto" w:fill="auto"/>
            <w:tcW w:w="806" w:type="dxa"/>
            <w:vAlign w:val="center"/>
            <w:textDirection w:val="lrTb"/>
            <w:noWrap w:val="false"/>
          </w:tcPr>
          <w:p>
            <w:pPr>
              <w:contextualSpacing/>
              <w:jc w:val="center"/>
              <w:spacing w:after="0" w:line="360" w:lineRule="auto"/>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rPr>
              <w:t xml:space="preserve">15</w:t>
            </w:r>
            <w:r>
              <w:rPr>
                <w:rFonts w:hint="eastAsia" w:ascii="宋体" w:hAnsi="宋体" w:eastAsia="宋体" w:cs="宋体"/>
                <w:bCs/>
                <w:sz w:val="24"/>
                <w:szCs w:val="24"/>
              </w:rPr>
              <w:t xml:space="preserve">分</w:t>
            </w:r>
            <w:r/>
          </w:p>
        </w:tc>
        <w:tc>
          <w:tcPr>
            <w:shd w:val="clear" w:color="auto" w:fill="auto"/>
            <w:tcW w:w="6179" w:type="dxa"/>
            <w:vAlign w:val="top"/>
            <w:textDirection w:val="lrTb"/>
            <w:noWrap w:val="false"/>
          </w:tcPr>
          <w:p>
            <w:pPr>
              <w:contextualSpacing/>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投标人应针对以下技术参数要求，提供</w:t>
            </w:r>
            <w:r>
              <w:rPr>
                <w:rFonts w:hint="eastAsia" w:ascii="宋体" w:hAnsi="宋体" w:eastAsia="宋体" w:cs="宋体"/>
                <w:color w:val="auto"/>
                <w:sz w:val="24"/>
                <w:szCs w:val="24"/>
                <w:lang w:eastAsia="zh-CN"/>
              </w:rPr>
              <w:t xml:space="preserve">第三方</w:t>
            </w:r>
            <w:r>
              <w:rPr>
                <w:rFonts w:hint="eastAsia" w:ascii="宋体" w:hAnsi="宋体" w:cs="宋体"/>
                <w:color w:val="auto"/>
                <w:sz w:val="24"/>
                <w:szCs w:val="24"/>
                <w:lang w:eastAsia="zh-CN"/>
              </w:rPr>
              <w:t xml:space="preserve">认证</w:t>
            </w:r>
            <w:r>
              <w:rPr>
                <w:rFonts w:hint="eastAsia" w:ascii="宋体" w:hAnsi="宋体" w:eastAsia="宋体" w:cs="宋体"/>
                <w:color w:val="auto"/>
                <w:sz w:val="24"/>
                <w:szCs w:val="24"/>
                <w:lang w:eastAsia="zh-CN"/>
              </w:rPr>
              <w:t xml:space="preserve">机构出具的</w:t>
            </w:r>
            <w:r>
              <w:rPr>
                <w:rFonts w:hint="eastAsia" w:ascii="宋体" w:hAnsi="宋体" w:eastAsia="宋体" w:cs="宋体"/>
                <w:color w:val="auto"/>
                <w:sz w:val="24"/>
                <w:szCs w:val="24"/>
              </w:rPr>
              <w:t xml:space="preserve">检测报告扫描件</w:t>
            </w:r>
            <w:r>
              <w:rPr>
                <w:rFonts w:hint="eastAsia" w:ascii="宋体" w:hAnsi="宋体" w:cs="宋体"/>
                <w:color w:val="auto"/>
                <w:sz w:val="24"/>
                <w:szCs w:val="24"/>
                <w:lang w:eastAsia="zh-CN"/>
              </w:rPr>
              <w:t xml:space="preserve">或产品功能性图片</w:t>
            </w:r>
            <w:r>
              <w:rPr>
                <w:rFonts w:hint="eastAsia" w:ascii="宋体" w:hAnsi="宋体" w:eastAsia="宋体" w:cs="宋体"/>
                <w:color w:val="auto"/>
                <w:sz w:val="24"/>
                <w:szCs w:val="24"/>
              </w:rPr>
              <w:t xml:space="preserve">上传至投标系统中并加盖公章，不提供不得</w:t>
            </w:r>
            <w:r>
              <w:rPr>
                <w:rFonts w:hint="eastAsia" w:ascii="宋体" w:hAnsi="宋体" w:eastAsia="宋体" w:cs="宋体"/>
                <w:color w:val="auto"/>
                <w:sz w:val="24"/>
                <w:szCs w:val="24"/>
                <w:highlight w:val="none"/>
              </w:rPr>
              <w:t xml:space="preserve">分。</w:t>
            </w:r>
            <w:r/>
          </w:p>
          <w:p>
            <w:pPr>
              <w:numPr>
                <w:ilvl w:val="0"/>
                <w:numId w:val="11"/>
              </w:numPr>
              <w:contextualSpacing/>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理化板台面（</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p>
            <w:pPr>
              <w:contextualSpacing/>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耐磨和耐划性</w:t>
            </w:r>
            <w:r>
              <w:rPr>
                <w:rFonts w:hint="eastAsia" w:ascii="宋体" w:hAnsi="宋体" w:eastAsia="宋体" w:cs="宋体"/>
                <w:color w:val="auto"/>
                <w:sz w:val="24"/>
                <w:szCs w:val="24"/>
                <w:lang w:val="en-US" w:eastAsia="zh-CN"/>
              </w:rPr>
              <w:t xml:space="preserve">能：耐磨性能：≥1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00r，未出现磨损点</w:t>
            </w:r>
            <w:r>
              <w:rPr>
                <w:rFonts w:hint="eastAsia" w:ascii="宋体" w:hAnsi="宋体" w:cs="宋体"/>
                <w:color w:val="auto"/>
                <w:sz w:val="24"/>
                <w:szCs w:val="24"/>
                <w:lang w:val="en-US" w:eastAsia="zh-CN"/>
              </w:rPr>
              <w:t xml:space="preserve">；表面耐划性能：</w:t>
            </w:r>
            <w:r>
              <w:rPr>
                <w:rFonts w:hint="eastAsia" w:ascii="宋体" w:hAnsi="宋体" w:eastAsia="宋体" w:cs="宋体"/>
                <w:color w:val="auto"/>
                <w:sz w:val="24"/>
                <w:szCs w:val="24"/>
                <w:lang w:val="en-US" w:eastAsia="zh-CN"/>
              </w:rPr>
              <w:t xml:space="preserve">在</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.0N作用下，表面无大于90%的连续划痕，表面装饰花纹无破坏现象</w:t>
            </w:r>
            <w:r>
              <w:rPr>
                <w:rFonts w:hint="eastAsia" w:ascii="宋体" w:hAnsi="宋体" w:cs="宋体"/>
                <w:color w:val="auto"/>
                <w:sz w:val="24"/>
                <w:szCs w:val="24"/>
                <w:lang w:val="en-US" w:eastAsia="zh-CN"/>
              </w:rPr>
              <w:t xml:space="preserve">，</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contextualSpacing/>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表面耐污染性能：</w:t>
            </w:r>
            <w:r>
              <w:rPr>
                <w:rFonts w:hint="eastAsia" w:ascii="宋体" w:hAnsi="宋体" w:cs="宋体"/>
                <w:sz w:val="24"/>
                <w:szCs w:val="24"/>
                <w:highlight w:val="none"/>
                <w:lang w:val="en-US" w:eastAsia="zh-CN"/>
              </w:rPr>
              <w:t xml:space="preserve">耐污染性能不少于90项试验污染物的检测</w:t>
            </w:r>
            <w:r>
              <w:rPr>
                <w:rFonts w:hint="eastAsia" w:ascii="宋体" w:hAnsi="宋体" w:eastAsia="宋体" w:cs="宋体"/>
                <w:sz w:val="24"/>
                <w:szCs w:val="24"/>
                <w:highlight w:val="none"/>
                <w:lang w:val="en-US" w:eastAsia="zh-CN"/>
              </w:rPr>
              <w:t xml:space="preserve">，且覆盖玻璃盖板和未覆盖玻璃盖板检验结果</w:t>
            </w:r>
            <w:r>
              <w:rPr>
                <w:rFonts w:hint="eastAsia" w:ascii="宋体" w:hAnsi="宋体" w:cs="宋体"/>
                <w:sz w:val="24"/>
                <w:szCs w:val="24"/>
                <w:highlight w:val="none"/>
                <w:lang w:val="en-US" w:eastAsia="zh-CN"/>
              </w:rPr>
              <w:t xml:space="preserve">达到</w:t>
            </w:r>
            <w:r>
              <w:rPr>
                <w:rFonts w:hint="eastAsia" w:ascii="宋体" w:hAnsi="宋体" w:eastAsia="宋体" w:cs="宋体"/>
                <w:sz w:val="24"/>
                <w:szCs w:val="24"/>
                <w:highlight w:val="none"/>
                <w:lang w:val="en-US" w:eastAsia="zh-CN"/>
              </w:rPr>
              <w:t xml:space="preserve">5级，得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）抗菌性能：</w:t>
            </w:r>
            <w:r>
              <w:rPr>
                <w:rFonts w:hint="eastAsia" w:ascii="宋体" w:hAnsi="宋体" w:eastAsia="宋体" w:cs="宋体"/>
                <w:sz w:val="24"/>
                <w:szCs w:val="24"/>
                <w:lang w:val="en-US" w:eastAsia="zh-CN"/>
              </w:rPr>
              <w:t xml:space="preserve">大肠杆菌抗菌率≥95.00%，金黄色葡萄球菌抗菌率≥95.00%，得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防霉</w:t>
            </w:r>
            <w:r>
              <w:rPr>
                <w:rFonts w:hint="eastAsia" w:ascii="宋体" w:hAnsi="宋体" w:eastAsia="宋体" w:cs="宋体"/>
                <w:sz w:val="24"/>
                <w:szCs w:val="24"/>
                <w:highlight w:val="none"/>
                <w:lang w:val="en-US" w:eastAsia="zh-CN"/>
              </w:rPr>
              <w:t xml:space="preserve">性能：</w:t>
            </w:r>
            <w:r>
              <w:rPr>
                <w:rFonts w:hint="eastAsia" w:ascii="宋体" w:hAnsi="宋体" w:eastAsia="宋体" w:cs="宋体"/>
                <w:sz w:val="24"/>
                <w:szCs w:val="24"/>
                <w:lang w:val="en-US" w:eastAsia="zh-CN"/>
              </w:rPr>
              <w:t xml:space="preserve">至少包含黑曲霉、土曲霉、宛氏拟青霉、绳状青霉、出芽短梗霉、球毛壳</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霉菌检测，且防霉等级</w:t>
            </w:r>
            <w:r>
              <w:rPr>
                <w:rFonts w:hint="eastAsia" w:ascii="宋体" w:hAnsi="宋体" w:cs="宋体"/>
                <w:sz w:val="24"/>
                <w:szCs w:val="24"/>
                <w:lang w:val="en-US" w:eastAsia="zh-CN"/>
              </w:rPr>
              <w:t xml:space="preserve">达到</w:t>
            </w:r>
            <w:r>
              <w:rPr>
                <w:rFonts w:hint="eastAsia" w:ascii="宋体" w:hAnsi="宋体" w:eastAsia="宋体" w:cs="宋体"/>
                <w:sz w:val="24"/>
                <w:szCs w:val="24"/>
                <w:lang w:val="en-US" w:eastAsia="zh-CN"/>
              </w:rPr>
              <w:t xml:space="preserve">0级，得1分。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color w:val="auto"/>
                <w:sz w:val="24"/>
                <w:szCs w:val="24"/>
                <w:lang w:val="en-US" w:eastAsia="zh-CN"/>
              </w:rPr>
              <w:t xml:space="preserve">陶瓷台面（</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分）</w:t>
            </w:r>
            <w:r>
              <w:rPr>
                <w:rFonts w:hint="eastAsia" w:ascii="宋体" w:hAnsi="宋体" w:eastAsia="宋体" w:cs="宋体"/>
                <w:color w:val="auto"/>
                <w:sz w:val="24"/>
                <w:szCs w:val="24"/>
                <w:lang w:val="en-US" w:eastAsia="zh-CN"/>
              </w:rPr>
              <w:t xml:space="preserve">：</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（1）抗菌性能：抗大肠杆菌抗菌率≥95.00%，金黄色葡萄球菌抗菌率≥95.00%，得1分；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（2）耐磨性能：耐磨性</w:t>
            </w:r>
            <w:r>
              <w:rPr>
                <w:rFonts w:hint="eastAsia" w:ascii="宋体" w:hAnsi="宋体" w:cs="宋体"/>
                <w:sz w:val="24"/>
                <w:szCs w:val="24"/>
                <w:lang w:val="en-US" w:eastAsia="zh-CN"/>
              </w:rPr>
              <w:t xml:space="preserve">达到可见磨损</w:t>
            </w:r>
            <w:r>
              <w:rPr>
                <w:rFonts w:hint="eastAsia" w:ascii="宋体" w:hAnsi="宋体" w:eastAsia="宋体" w:cs="宋体"/>
                <w:sz w:val="24"/>
                <w:szCs w:val="24"/>
                <w:lang w:val="en-US" w:eastAsia="zh-CN"/>
              </w:rPr>
              <w:t xml:space="preserve">2100转</w:t>
            </w:r>
            <w:r>
              <w:rPr>
                <w:rFonts w:hint="eastAsia" w:ascii="宋体" w:hAnsi="宋体" w:cs="宋体"/>
                <w:sz w:val="24"/>
                <w:szCs w:val="24"/>
                <w:lang w:val="en-US" w:eastAsia="zh-CN"/>
              </w:rPr>
              <w:t xml:space="preserve">，4级或以上的</w:t>
            </w:r>
            <w:r>
              <w:rPr>
                <w:rFonts w:hint="eastAsia" w:ascii="宋体" w:hAnsi="宋体" w:eastAsia="宋体" w:cs="宋体"/>
                <w:sz w:val="24"/>
                <w:szCs w:val="24"/>
                <w:lang w:val="en-US" w:eastAsia="zh-CN"/>
              </w:rPr>
              <w:t xml:space="preserve">，得1分；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（3）表面耐污染性能:</w:t>
            </w:r>
            <w:r>
              <w:rPr>
                <w:rFonts w:hint="eastAsia" w:ascii="宋体" w:hAnsi="宋体" w:cs="宋体"/>
                <w:sz w:val="24"/>
                <w:szCs w:val="24"/>
                <w:lang w:val="en-US" w:eastAsia="zh-CN"/>
              </w:rPr>
              <w:t xml:space="preserve">满足不少于90种化学试剂检测</w:t>
            </w:r>
            <w:r>
              <w:rPr>
                <w:rFonts w:hint="eastAsia" w:ascii="宋体" w:hAnsi="宋体" w:eastAsia="宋体" w:cs="宋体"/>
                <w:sz w:val="24"/>
                <w:szCs w:val="24"/>
                <w:lang w:val="en-US" w:eastAsia="zh-CN"/>
              </w:rPr>
              <w:t xml:space="preserve">，且覆盖玻璃盖板和未覆盖玻璃盖板检验结果</w:t>
            </w:r>
            <w:r>
              <w:rPr>
                <w:rFonts w:hint="eastAsia" w:ascii="宋体" w:hAnsi="宋体" w:cs="宋体"/>
                <w:sz w:val="24"/>
                <w:szCs w:val="24"/>
                <w:highlight w:val="none"/>
                <w:lang w:val="en-US" w:eastAsia="zh-CN"/>
              </w:rPr>
              <w:t xml:space="preserve">达到</w:t>
            </w:r>
            <w:r>
              <w:rPr>
                <w:rFonts w:hint="eastAsia" w:ascii="宋体" w:hAnsi="宋体" w:eastAsia="宋体" w:cs="宋体"/>
                <w:sz w:val="24"/>
                <w:szCs w:val="24"/>
                <w:highlight w:val="none"/>
                <w:lang w:val="en-US" w:eastAsia="zh-CN"/>
              </w:rPr>
              <w:t xml:space="preserve">5级</w:t>
            </w:r>
            <w:r>
              <w:rPr>
                <w:rFonts w:hint="eastAsia" w:ascii="宋体" w:hAnsi="宋体" w:eastAsia="宋体" w:cs="宋体"/>
                <w:sz w:val="24"/>
                <w:szCs w:val="24"/>
                <w:lang w:val="en-US" w:eastAsia="zh-CN"/>
              </w:rPr>
              <w:t xml:space="preserve">，得1分。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.仪器柜（2分）：</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（1）塑料材料理化性能，满足：冲击强度≥20J/㎡，得1分；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（2）塑料件硬度，满足：邵氏D硬度≥HD70，得1分。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.单人净化工作台（</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分）</w:t>
            </w:r>
            <w:r/>
          </w:p>
          <w:p>
            <w:pPr>
              <w:numPr>
                <w:ilvl w:val="0"/>
                <w:numId w:val="0"/>
              </w:numPr>
              <w:contextualSpacing/>
              <w:spacing w:after="0"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）扫描检漏（DOP法检漏）：穿透率≤0.0</w:t>
            </w:r>
            <w:r>
              <w:rPr>
                <w:rFonts w:hint="eastAsia" w:ascii="宋体" w:hAnsi="宋体" w:cs="宋体"/>
                <w:color w:val="auto"/>
                <w:sz w:val="24"/>
                <w:szCs w:val="24"/>
                <w:lang w:val="en-US" w:eastAsia="zh-CN" w:bidi="ar-SA"/>
              </w:rPr>
              <w:t xml:space="preserve">02</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rPr>
              <w:t xml:space="preserve">，得1分；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rPr>
              <w:t xml:space="preserve">空气洁净度：≤</w:t>
            </w:r>
            <w:r>
              <w:rPr>
                <w:rFonts w:hint="eastAsia" w:ascii="宋体" w:hAnsi="宋体" w:cs="宋体"/>
                <w:color w:val="auto"/>
                <w:sz w:val="24"/>
                <w:szCs w:val="24"/>
                <w:lang w:val="en-US" w:eastAsia="zh-CN"/>
              </w:rPr>
              <w:t xml:space="preserve">SIO </w:t>
            </w:r>
            <w:r>
              <w:rPr>
                <w:rFonts w:hint="eastAsia" w:ascii="宋体" w:hAnsi="宋体" w:eastAsia="宋体" w:cs="宋体"/>
                <w:color w:val="auto"/>
                <w:sz w:val="24"/>
                <w:szCs w:val="24"/>
                <w:lang w:val="en-US" w:eastAsia="zh-CN"/>
              </w:rPr>
              <w:t xml:space="preserve">5</w:t>
            </w:r>
            <w:r>
              <w:rPr>
                <w:rFonts w:hint="eastAsia" w:ascii="宋体" w:hAnsi="宋体" w:cs="宋体"/>
                <w:color w:val="auto"/>
                <w:sz w:val="24"/>
                <w:szCs w:val="24"/>
                <w:lang w:val="en-US" w:eastAsia="zh-CN"/>
              </w:rPr>
              <w:t xml:space="preserve">级</w:t>
            </w:r>
            <w:r>
              <w:rPr>
                <w:rFonts w:hint="eastAsia" w:ascii="宋体" w:hAnsi="宋体" w:eastAsia="宋体" w:cs="宋体"/>
                <w:color w:val="auto"/>
                <w:sz w:val="24"/>
                <w:szCs w:val="24"/>
                <w:lang w:val="en-US" w:eastAsia="zh-CN"/>
              </w:rPr>
              <w:t xml:space="preserve">；沉降菌浓度（CFU/皿×0.5</w:t>
            </w:r>
            <w:r>
              <w:rPr>
                <w:rFonts w:hint="eastAsia" w:ascii="宋体" w:hAnsi="宋体" w:cs="宋体"/>
                <w:color w:val="auto"/>
                <w:sz w:val="24"/>
                <w:szCs w:val="24"/>
                <w:lang w:val="en-US" w:eastAsia="zh-CN"/>
              </w:rPr>
              <w:t xml:space="preserve">h</w:t>
            </w:r>
            <w:r>
              <w:rPr>
                <w:rFonts w:hint="eastAsia" w:ascii="宋体" w:hAnsi="宋体" w:eastAsia="宋体" w:cs="宋体"/>
                <w:color w:val="auto"/>
                <w:sz w:val="24"/>
                <w:szCs w:val="24"/>
                <w:lang w:val="en-US" w:eastAsia="zh-CN"/>
              </w:rPr>
              <w:t xml:space="preserve">）：≤0.2</w:t>
            </w:r>
            <w:r>
              <w:rPr>
                <w:rFonts w:hint="eastAsia" w:ascii="宋体" w:hAnsi="宋体" w:cs="宋体"/>
                <w:color w:val="auto"/>
                <w:sz w:val="24"/>
                <w:szCs w:val="24"/>
                <w:lang w:val="en-US" w:eastAsia="zh-CN"/>
              </w:rPr>
              <w:t xml:space="preserve">，得1分；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bidi="ar"/>
              </w:rPr>
              <w:t xml:space="preserve">（</w:t>
            </w:r>
            <w:r>
              <w:rPr>
                <w:rFonts w:hint="eastAsia" w:ascii="宋体" w:hAnsi="宋体" w:cs="宋体"/>
                <w:b w:val="0"/>
                <w:bCs w:val="0"/>
                <w:color w:val="auto"/>
                <w:sz w:val="24"/>
                <w:szCs w:val="24"/>
                <w:lang w:val="en-US" w:eastAsia="zh-CN" w:bidi="ar"/>
              </w:rPr>
              <w:t xml:space="preserve">3</w:t>
            </w:r>
            <w:r>
              <w:rPr>
                <w:rFonts w:hint="eastAsia" w:ascii="宋体" w:hAnsi="宋体" w:eastAsia="宋体" w:cs="宋体"/>
                <w:b w:val="0"/>
                <w:bCs w:val="0"/>
                <w:color w:val="auto"/>
                <w:sz w:val="24"/>
                <w:szCs w:val="24"/>
                <w:lang w:val="en-US" w:eastAsia="zh-CN" w:bidi="ar"/>
              </w:rPr>
              <w:t xml:space="preserve">）照度：≥8</w:t>
            </w:r>
            <w:r>
              <w:rPr>
                <w:rFonts w:hint="eastAsia" w:ascii="宋体" w:hAnsi="宋体" w:cs="宋体"/>
                <w:b w:val="0"/>
                <w:bCs w:val="0"/>
                <w:color w:val="auto"/>
                <w:sz w:val="24"/>
                <w:szCs w:val="24"/>
                <w:lang w:val="en-US" w:eastAsia="zh-CN" w:bidi="ar"/>
              </w:rPr>
              <w:t xml:space="preserve">0</w:t>
            </w:r>
            <w:r>
              <w:rPr>
                <w:rFonts w:hint="eastAsia" w:ascii="宋体" w:hAnsi="宋体" w:eastAsia="宋体" w:cs="宋体"/>
                <w:b w:val="0"/>
                <w:bCs w:val="0"/>
                <w:color w:val="auto"/>
                <w:sz w:val="24"/>
                <w:szCs w:val="24"/>
                <w:lang w:val="en-US" w:eastAsia="zh-CN" w:bidi="ar"/>
              </w:rPr>
              <w:t xml:space="preserve">0lx；噪声：≤</w:t>
            </w:r>
            <w:r>
              <w:rPr>
                <w:rFonts w:hint="eastAsia" w:ascii="宋体" w:hAnsi="宋体" w:cs="宋体"/>
                <w:b w:val="0"/>
                <w:bCs w:val="0"/>
                <w:color w:val="auto"/>
                <w:sz w:val="24"/>
                <w:szCs w:val="24"/>
                <w:lang w:val="en-US" w:eastAsia="zh-CN" w:bidi="ar"/>
              </w:rPr>
              <w:t xml:space="preserve">64.5</w:t>
            </w:r>
            <w:r>
              <w:rPr>
                <w:rFonts w:hint="eastAsia" w:ascii="宋体" w:hAnsi="宋体" w:eastAsia="宋体" w:cs="宋体"/>
                <w:b w:val="0"/>
                <w:bCs w:val="0"/>
                <w:color w:val="auto"/>
                <w:sz w:val="24"/>
                <w:szCs w:val="24"/>
                <w:lang w:val="en-US" w:eastAsia="zh-CN" w:bidi="ar"/>
              </w:rPr>
              <w:t xml:space="preserve">dB；振动幅度：≤</w:t>
            </w:r>
            <w:r>
              <w:rPr>
                <w:rFonts w:hint="eastAsia" w:ascii="宋体" w:hAnsi="宋体" w:cs="宋体"/>
                <w:b w:val="0"/>
                <w:bCs w:val="0"/>
                <w:color w:val="auto"/>
                <w:sz w:val="24"/>
                <w:szCs w:val="24"/>
                <w:lang w:val="en-US" w:eastAsia="zh-CN" w:bidi="ar"/>
              </w:rPr>
              <w:t xml:space="preserve">3</w:t>
            </w:r>
            <w:r>
              <w:rPr>
                <w:rFonts w:hint="eastAsia" w:ascii="宋体" w:hAnsi="宋体" w:eastAsia="宋体" w:cs="宋体"/>
                <w:b w:val="0"/>
                <w:bCs w:val="0"/>
                <w:color w:val="auto"/>
                <w:sz w:val="24"/>
                <w:szCs w:val="24"/>
                <w:lang w:val="en-US" w:eastAsia="zh-CN" w:bidi="ar"/>
              </w:rPr>
              <w:t xml:space="preserve">μm</w:t>
            </w:r>
            <w:r>
              <w:rPr>
                <w:rFonts w:hint="eastAsia" w:ascii="宋体" w:hAnsi="宋体" w:cs="宋体"/>
                <w:color w:val="auto"/>
                <w:sz w:val="24"/>
                <w:szCs w:val="24"/>
                <w:lang w:val="en-US" w:eastAsia="zh-CN"/>
              </w:rPr>
              <w:t xml:space="preserve">，得1分。</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p>
            <w:pPr>
              <w:numPr>
                <w:ilvl w:val="0"/>
                <w:numId w:val="0"/>
              </w:numPr>
              <w:contextualSpacing/>
              <w:spacing w:after="0"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光合作用反应仪</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分）</w:t>
            </w:r>
            <w:r/>
          </w:p>
          <w:p>
            <w:pPr>
              <w:numPr>
                <w:ilvl w:val="0"/>
                <w:numId w:val="0"/>
              </w:numPr>
              <w:contextualSpacing/>
              <w:spacing w:after="0" w:line="360" w:lineRule="auto"/>
              <w:rPr>
                <w:rFonts w:hint="eastAsia" w:ascii="宋体" w:hAnsi="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（1）配置可变换光谱LED植物专用补光灯，不同光谱独立控制，光照强度≥10档可调，适合不同光强下植物光合作用实验探究</w:t>
            </w:r>
            <w:r>
              <w:rPr>
                <w:rFonts w:hint="eastAsia" w:ascii="宋体" w:hAnsi="宋体" w:cs="宋体"/>
                <w:b w:val="0"/>
                <w:bCs w:val="0"/>
                <w:color w:val="auto"/>
                <w:sz w:val="24"/>
                <w:szCs w:val="24"/>
                <w:lang w:val="en-US" w:eastAsia="zh-CN" w:bidi="ar"/>
              </w:rPr>
              <w:t xml:space="preserve">，得1分</w:t>
            </w:r>
            <w:r>
              <w:rPr>
                <w:rFonts w:hint="eastAsia" w:ascii="宋体" w:hAnsi="宋体" w:eastAsia="宋体" w:cs="宋体"/>
                <w:color w:val="auto"/>
                <w:sz w:val="24"/>
                <w:szCs w:val="24"/>
                <w:lang w:val="en-US" w:eastAsia="zh-CN"/>
              </w:rPr>
              <w:t xml:space="preserve">；</w:t>
            </w:r>
            <w:r>
              <w:rPr>
                <w:rFonts w:hint="eastAsia" w:ascii="宋体" w:hAnsi="宋体" w:cs="宋体"/>
                <w:b w:val="0"/>
                <w:bCs w:val="0"/>
                <w:color w:val="auto"/>
                <w:sz w:val="24"/>
                <w:szCs w:val="24"/>
                <w:lang w:val="en-US" w:eastAsia="zh-CN" w:bidi="ar"/>
              </w:rPr>
              <w:t xml:space="preserve">(提供产品功能性图片)</w:t>
            </w:r>
            <w:r/>
          </w:p>
          <w:p>
            <w:pPr>
              <w:numPr>
                <w:ilvl w:val="0"/>
                <w:numId w:val="0"/>
              </w:numPr>
              <w:contextualSpacing/>
              <w:spacing w:after="0" w:line="360" w:lineRule="auto"/>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SA"/>
              </w:rPr>
              <w:t xml:space="preserve">（2）温度控制范围：温度10-50℃可调，设备配置恒温加热和制冷装置，可维持反应室温度保持稳定不变，恒温范围±1.0℃；温控功能独立控制，设备内置恒温加热和制冷装置，温度接近需要温度时自动进入缓控温状态，维持反应室温度保持稳定不变</w:t>
            </w:r>
            <w:r>
              <w:rPr>
                <w:rFonts w:hint="eastAsia" w:ascii="宋体" w:hAnsi="宋体" w:cs="宋体"/>
                <w:b w:val="0"/>
                <w:bCs w:val="0"/>
                <w:color w:val="auto"/>
                <w:sz w:val="24"/>
                <w:szCs w:val="24"/>
                <w:lang w:val="en-US" w:eastAsia="zh-CN" w:bidi="ar"/>
              </w:rPr>
              <w:t xml:space="preserve">，得1分</w:t>
            </w:r>
            <w:r>
              <w:rPr>
                <w:rFonts w:hint="eastAsia" w:ascii="宋体" w:hAnsi="宋体" w:eastAsia="宋体" w:cs="宋体"/>
                <w:color w:val="auto"/>
                <w:sz w:val="24"/>
                <w:szCs w:val="24"/>
                <w:lang w:val="en-US" w:eastAsia="zh-CN"/>
              </w:rPr>
              <w:t xml:space="preserve">；</w:t>
            </w:r>
            <w:r>
              <w:rPr>
                <w:rFonts w:hint="eastAsia" w:ascii="宋体" w:hAnsi="宋体" w:cs="宋体"/>
                <w:b w:val="0"/>
                <w:bCs w:val="0"/>
                <w:color w:val="auto"/>
                <w:sz w:val="24"/>
                <w:szCs w:val="24"/>
                <w:lang w:val="en-US" w:eastAsia="zh-CN" w:bidi="ar"/>
              </w:rPr>
              <w:t xml:space="preserve">(提供产品功能性图片)</w:t>
            </w:r>
            <w:r/>
          </w:p>
          <w:p>
            <w:pPr>
              <w:numPr>
                <w:ilvl w:val="0"/>
                <w:numId w:val="0"/>
              </w:numPr>
              <w:contextualSpacing/>
              <w:spacing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6.微量可调移液器（1分）</w:t>
            </w:r>
            <w:r/>
          </w:p>
          <w:p>
            <w:pPr>
              <w:numPr>
                <w:ilvl w:val="0"/>
                <w:numId w:val="0"/>
              </w:numPr>
              <w:contextualSpacing/>
              <w:ind w:firstLine="240"/>
              <w:spacing w:after="0" w:line="360" w:lineRule="auto"/>
              <w:rPr>
                <w:rFonts w:hint="default" w:ascii="宋体" w:hAnsi="宋体" w:eastAsia="宋体" w:cs="宋体"/>
                <w:b/>
                <w:bCs/>
                <w:sz w:val="24"/>
                <w:szCs w:val="24"/>
                <w:lang w:val="en-US" w:eastAsia="zh-CN"/>
              </w:rPr>
            </w:pPr>
            <w:r>
              <w:rPr>
                <w:rFonts w:hint="eastAsia" w:ascii="宋体" w:hAnsi="宋体" w:cs="宋体"/>
                <w:b w:val="0"/>
                <w:bCs w:val="0"/>
                <w:color w:val="auto"/>
                <w:sz w:val="24"/>
                <w:szCs w:val="24"/>
                <w:lang w:val="en-US" w:eastAsia="zh-CN" w:bidi="ar-SA"/>
              </w:rPr>
              <w:t xml:space="preserve">微量可调移液器在≤-5℃~≥121℃环境下，外观无形变，所有功能正常使用。</w:t>
            </w:r>
            <w:r>
              <w:rPr>
                <w:rFonts w:hint="eastAsia" w:ascii="宋体" w:hAnsi="宋体" w:cs="宋体"/>
                <w:sz w:val="24"/>
                <w:szCs w:val="24"/>
                <w:highlight w:val="none"/>
                <w:lang w:val="en-US" w:eastAsia="zh-CN"/>
              </w:rPr>
              <w:t xml:space="preserve">（提供检测报告</w:t>
            </w:r>
            <w:r>
              <w:rPr>
                <w:rFonts w:hint="eastAsia" w:ascii="宋体" w:hAnsi="宋体" w:eastAsia="宋体" w:cs="宋体"/>
                <w:color w:val="auto"/>
                <w:sz w:val="24"/>
                <w:szCs w:val="24"/>
              </w:rPr>
              <w:t xml:space="preserve">扫描件</w:t>
            </w:r>
            <w:r>
              <w:rPr>
                <w:rFonts w:hint="eastAsia" w:ascii="宋体" w:hAnsi="宋体" w:cs="宋体"/>
                <w:sz w:val="24"/>
                <w:szCs w:val="24"/>
                <w:highlight w:val="none"/>
                <w:lang w:val="en-US" w:eastAsia="zh-CN"/>
              </w:rPr>
              <w:t xml:space="preserve">）</w:t>
            </w:r>
            <w:r/>
          </w:p>
        </w:tc>
      </w:tr>
      <w:tr>
        <w:trPr>
          <w:jc w:val="center"/>
          <w:trHeight w:val="90"/>
        </w:trPr>
        <w:tc>
          <w:tcPr>
            <w:tcW w:w="752" w:type="dxa"/>
            <w:vAlign w:val="center"/>
            <w:vMerge w:val="restart"/>
            <w:textDirection w:val="lrTb"/>
            <w:noWrap w:val="false"/>
          </w:tcPr>
          <w:p>
            <w:pPr>
              <w:jc w:val="center"/>
              <w:spacing w:line="360" w:lineRule="auto"/>
              <w:rPr>
                <w:rFonts w:ascii="宋体" w:hAnsi="宋体"/>
                <w:color w:val="auto"/>
                <w:sz w:val="24"/>
                <w:szCs w:val="24"/>
                <w:highlight w:val="none"/>
              </w:rPr>
            </w:pPr>
            <w:r>
              <w:rPr>
                <w:rFonts w:hint="eastAsia" w:ascii="宋体" w:hAnsi="宋体"/>
                <w:b/>
                <w:bCs/>
                <w:color w:val="auto"/>
                <w:sz w:val="24"/>
                <w:szCs w:val="24"/>
                <w:highlight w:val="none"/>
                <w:lang w:val="en-US" w:eastAsia="zh-CN"/>
              </w:rPr>
              <w:t xml:space="preserve">商务部分(11</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lang w:val="en-US" w:eastAsia="zh-CN"/>
              </w:rPr>
              <w:t xml:space="preserve">)</w:t>
            </w:r>
            <w:r/>
          </w:p>
        </w:tc>
        <w:tc>
          <w:tcPr>
            <w:tcW w:w="66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1173" w:type="dxa"/>
            <w:vAlign w:val="center"/>
            <w:textDirection w:val="lrTb"/>
            <w:noWrap w:val="false"/>
          </w:tcPr>
          <w:p>
            <w:pPr>
              <w:jc w:val="center"/>
              <w:spacing w:after="0" w:line="360" w:lineRule="auto"/>
              <w:rPr>
                <w:rFonts w:hint="eastAsia" w:ascii="宋体" w:hAnsi="宋体" w:eastAsia="宋体" w:cs="宋体"/>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体系认证</w:t>
            </w:r>
            <w:r/>
          </w:p>
        </w:tc>
        <w:tc>
          <w:tcPr>
            <w:shd w:val="clear" w:color="auto" w:fill="auto"/>
            <w:tcW w:w="806" w:type="dxa"/>
            <w:vAlign w:val="center"/>
            <w:textDirection w:val="lrTb"/>
            <w:noWrap w:val="false"/>
          </w:tcPr>
          <w:p>
            <w:pPr>
              <w:jc w:val="center"/>
              <w:spacing w:after="0" w:line="360" w:lineRule="auto"/>
              <w:rPr>
                <w:rFonts w:hint="eastAsia" w:ascii="宋体" w:hAnsi="宋体" w:eastAsia="宋体" w:cs="宋体"/>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W w:w="6179" w:type="dxa"/>
            <w:vAlign w:val="center"/>
            <w:textDirection w:val="lrTb"/>
            <w:noWrap w:val="false"/>
          </w:tcPr>
          <w:p>
            <w:pPr>
              <w:contextualSpacing/>
              <w:jc w:val="both"/>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1.投标人或所投产品制造商具有有效期内的职业健康安全管理体系、环境管理体系、质量管理体系认证</w:t>
            </w:r>
            <w:bookmarkStart w:id="146" w:name="_GoBack"/>
            <w:r/>
            <w:bookmarkEnd w:id="146"/>
            <w:r>
              <w:rPr>
                <w:rFonts w:hint="eastAsia" w:ascii="宋体" w:hAnsi="宋体" w:eastAsia="宋体" w:cs="宋体"/>
                <w:sz w:val="24"/>
                <w:szCs w:val="24"/>
                <w:lang w:val="en-US" w:eastAsia="zh-CN"/>
              </w:rPr>
              <w:t xml:space="preserve">，每提供一份得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分，最多得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分。（须提供证书扫描件及全国认证认可信息公共服务平台的查询截图）</w:t>
            </w:r>
            <w:r/>
          </w:p>
          <w:p>
            <w:pPr>
              <w:contextualSpacing/>
              <w:jc w:val="both"/>
              <w:spacing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2.投标人或所投产品制造商所投“钢木教师</w:t>
            </w:r>
            <w:r>
              <w:rPr>
                <w:rFonts w:hint="eastAsia" w:ascii="宋体" w:hAnsi="宋体" w:cs="宋体"/>
                <w:sz w:val="24"/>
                <w:szCs w:val="24"/>
                <w:lang w:val="en-US" w:eastAsia="zh-CN"/>
              </w:rPr>
              <w:t xml:space="preserve">桌</w:t>
            </w:r>
            <w:r>
              <w:rPr>
                <w:rFonts w:hint="eastAsia" w:ascii="宋体" w:hAnsi="宋体" w:eastAsia="宋体" w:cs="宋体"/>
                <w:sz w:val="24"/>
                <w:szCs w:val="24"/>
                <w:lang w:val="en-US" w:eastAsia="zh-CN"/>
              </w:rPr>
              <w:t xml:space="preserve">、实验桌</w:t>
            </w:r>
            <w:r>
              <w:rPr>
                <w:rFonts w:hint="eastAsia" w:ascii="宋体" w:hAnsi="宋体" w:cs="宋体"/>
                <w:sz w:val="24"/>
                <w:szCs w:val="24"/>
                <w:lang w:val="en-US" w:eastAsia="zh-CN"/>
              </w:rPr>
              <w:t xml:space="preserve">、功能柱</w:t>
            </w:r>
            <w:r>
              <w:rPr>
                <w:rFonts w:hint="eastAsia" w:ascii="宋体" w:hAnsi="宋体" w:eastAsia="宋体" w:cs="宋体"/>
                <w:sz w:val="24"/>
                <w:szCs w:val="24"/>
                <w:lang w:val="en-US" w:eastAsia="zh-CN"/>
              </w:rPr>
              <w:t xml:space="preserve">”具有有效期内的中国环境标志认证产品证书，每有1项得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分，最高分为</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分。（须提供证书扫描件及全国认证认可信息公共服务平台的查询截图</w:t>
            </w:r>
            <w:r>
              <w:rPr>
                <w:rFonts w:hint="eastAsia" w:ascii="宋体" w:hAnsi="宋体" w:cs="宋体"/>
                <w:sz w:val="24"/>
                <w:szCs w:val="24"/>
                <w:lang w:val="en-US" w:eastAsia="zh-CN"/>
              </w:rPr>
              <w:t xml:space="preserve">，产品名称不同，实质性内容相同的视为等同</w:t>
            </w:r>
            <w:r>
              <w:rPr>
                <w:rFonts w:hint="eastAsia" w:ascii="宋体" w:hAnsi="宋体" w:eastAsia="宋体" w:cs="宋体"/>
                <w:sz w:val="24"/>
                <w:szCs w:val="24"/>
                <w:lang w:val="en-US" w:eastAsia="zh-CN"/>
              </w:rPr>
              <w:t xml:space="preserve">）</w:t>
            </w:r>
            <w:r/>
          </w:p>
        </w:tc>
      </w:tr>
      <w:tr>
        <w:trPr>
          <w:jc w:val="center"/>
          <w:trHeight w:val="90"/>
        </w:trPr>
        <w:tc>
          <w:tcPr>
            <w:tcW w:w="752" w:type="dxa"/>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0" w:type="auto"/>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0" w:type="auto"/>
            <w:vAlign w:val="center"/>
            <w:textDirection w:val="lrTb"/>
            <w:noWrap w:val="false"/>
          </w:tcPr>
          <w:p>
            <w:pPr>
              <w:contextualSpacing/>
              <w:jc w:val="center"/>
              <w:spacing w:after="0"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质保期</w:t>
            </w:r>
            <w:r/>
          </w:p>
        </w:tc>
        <w:tc>
          <w:tcPr>
            <w:shd w:val="clear" w:color="auto" w:fill="auto"/>
            <w:tcW w:w="806" w:type="dxa"/>
            <w:vAlign w:val="center"/>
            <w:textDirection w:val="lrTb"/>
            <w:noWrap w:val="false"/>
          </w:tcPr>
          <w:p>
            <w:pPr>
              <w:contextualSpacing/>
              <w:jc w:val="center"/>
              <w:spacing w:after="0"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分</w:t>
            </w:r>
            <w:r/>
          </w:p>
        </w:tc>
        <w:tc>
          <w:tcPr>
            <w:shd w:val="clear" w:color="auto" w:fill="auto"/>
            <w:tcW w:w="6179" w:type="dxa"/>
            <w:vAlign w:val="top"/>
            <w:textDirection w:val="lrTb"/>
            <w:noWrap w:val="false"/>
          </w:tcPr>
          <w:p>
            <w:pPr>
              <w:contextualSpacing/>
              <w:jc w:val="left"/>
              <w:spacing w:after="0"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在承诺满足基本原厂质保二年的基础上</w:t>
            </w:r>
            <w:r>
              <w:rPr>
                <w:rFonts w:hint="eastAsia" w:ascii="宋体" w:hAnsi="宋体" w:eastAsia="宋体" w:cs="宋体"/>
                <w:bCs/>
                <w:sz w:val="24"/>
                <w:szCs w:val="24"/>
                <w:lang w:val="zh-CN" w:eastAsia="zh-CN"/>
              </w:rPr>
              <w:t xml:space="preserve">，承诺每增加1年</w:t>
            </w:r>
            <w:r>
              <w:rPr>
                <w:rFonts w:hint="eastAsia" w:ascii="宋体" w:hAnsi="宋体" w:eastAsia="宋体" w:cs="宋体"/>
                <w:bCs/>
                <w:sz w:val="24"/>
                <w:szCs w:val="24"/>
                <w:lang w:val="en-US" w:eastAsia="zh-CN"/>
              </w:rPr>
              <w:t xml:space="preserve">原厂质保</w:t>
            </w:r>
            <w:r>
              <w:rPr>
                <w:rFonts w:hint="eastAsia" w:ascii="宋体" w:hAnsi="宋体" w:eastAsia="宋体" w:cs="宋体"/>
                <w:bCs/>
                <w:sz w:val="24"/>
                <w:szCs w:val="24"/>
                <w:lang w:val="zh-CN" w:eastAsia="zh-CN"/>
              </w:rPr>
              <w:t xml:space="preserve">加</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zh-CN" w:eastAsia="zh-CN"/>
              </w:rPr>
              <w:t xml:space="preserve">分</w:t>
            </w:r>
            <w:r>
              <w:rPr>
                <w:rFonts w:hint="eastAsia" w:ascii="宋体" w:hAnsi="宋体" w:eastAsia="宋体" w:cs="宋体"/>
                <w:bCs/>
                <w:sz w:val="24"/>
                <w:szCs w:val="24"/>
                <w:lang w:val="en-US" w:eastAsia="zh-CN"/>
              </w:rPr>
              <w:t xml:space="preserve">，最高得</w:t>
            </w: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分。</w:t>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2、价格部分</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356"/>
        <w:gridCol w:w="897"/>
        <w:gridCol w:w="6219"/>
      </w:tblGrid>
      <w:tr>
        <w:trPr>
          <w:cantSplit/>
          <w:jc w:val="center"/>
          <w:trHeight w:val="880"/>
        </w:trPr>
        <w:tc>
          <w:tcPr>
            <w:tcW w:w="80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3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评审项目</w:t>
            </w:r>
            <w:r/>
          </w:p>
        </w:tc>
        <w:tc>
          <w:tcPr>
            <w:tcW w:w="89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分值</w:t>
            </w:r>
            <w:r/>
          </w:p>
        </w:tc>
        <w:tc>
          <w:tcPr>
            <w:tcW w:w="6219"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评审细则</w:t>
            </w:r>
            <w:r/>
          </w:p>
        </w:tc>
      </w:tr>
      <w:tr>
        <w:trPr>
          <w:cantSplit/>
          <w:jc w:val="center"/>
          <w:trHeight w:val="880"/>
        </w:trPr>
        <w:tc>
          <w:tcPr>
            <w:tcW w:w="80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13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价格部分</w:t>
            </w:r>
            <w:r/>
          </w:p>
        </w:tc>
        <w:tc>
          <w:tcPr>
            <w:tcW w:w="897" w:type="dxa"/>
            <w:vAlign w:val="center"/>
            <w:textDirection w:val="lrTb"/>
            <w:noWrap w:val="false"/>
          </w:tcPr>
          <w:p>
            <w:pPr>
              <w:jc w:val="center"/>
              <w:spacing w:line="36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 35分</w:t>
            </w:r>
            <w:r/>
          </w:p>
        </w:tc>
        <w:tc>
          <w:tcPr>
            <w:tcW w:w="6219" w:type="dxa"/>
            <w:vAlign w:val="center"/>
            <w:textDirection w:val="lrTb"/>
            <w:noWrap w:val="false"/>
          </w:tcPr>
          <w:p>
            <w:pPr>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1.评标总价是指通过资格审查、符合性检查且实质性响应招标文件要求，经修正、落实政府采购政策功能扣除后的总价。</w:t>
            </w:r>
            <w:r/>
          </w:p>
          <w:p>
            <w:pPr>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2.评标基准价=评标总价中的最低总价。</w:t>
            </w:r>
            <w:r/>
          </w:p>
          <w:p>
            <w:pPr>
              <w:jc w:val="left"/>
              <w:spacing w:line="360" w:lineRule="auto"/>
              <w:rPr>
                <w:rFonts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3.当投标人的评标总价等于评标基准价的得35分，其他投标人的价格分按照下列公式计算：评标总价得分=（评标基准价/评标总价）×35分（计算结果保留2位小数，第三位四舍五入）。</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ascii="宋体" w:hAnsi="宋体" w:cs="宋体"/>
          <w:sz w:val="24"/>
          <w:szCs w:val="24"/>
          <w:highlight w:val="none"/>
        </w:rPr>
      </w:pPr>
      <w:r>
        <w:rPr>
          <w:rFonts w:hint="eastAsia" w:ascii="宋体" w:hAnsi="宋体" w:cs="宋体"/>
          <w:b/>
          <w:bCs/>
          <w:sz w:val="24"/>
          <w:szCs w:val="24"/>
          <w:highlight w:val="none"/>
        </w:rPr>
        <w:t xml:space="preserve">备注：</w:t>
      </w:r>
      <w:r>
        <w:rPr>
          <w:rFonts w:hint="default" w:ascii="宋体" w:hAnsi="宋体" w:eastAsia="宋体" w:cs="宋体"/>
          <w:sz w:val="24"/>
          <w:szCs w:val="24"/>
          <w:highlight w:val="none"/>
          <w:lang w:val="en-US" w:eastAsia="zh-CN" w:bidi="ar-SA"/>
        </w:rPr>
        <w:t xml:space="preserve">1、</w:t>
      </w:r>
      <w:r>
        <w:rPr>
          <w:rFonts w:hint="eastAsia" w:ascii="宋体" w:hAnsi="宋体" w:cs="宋体"/>
          <w:sz w:val="24"/>
          <w:szCs w:val="24"/>
          <w:highlight w:val="none"/>
        </w:rPr>
        <w:t xml:space="preserve">评分过程中如出现小数点后三位，采用四舍五入法，最终保留两位小数；</w:t>
      </w:r>
      <w:r/>
    </w:p>
    <w:p>
      <w:pPr>
        <w:numPr>
          <w:ilvl w:val="0"/>
          <w:numId w:val="0"/>
        </w:numPr>
        <w:ind w:firstLine="7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zh-CN"/>
        </w:rPr>
        <w:t xml:space="preserve">响应文件中必须提供以上相关证明材料复印件，否则不予加分。</w:t>
      </w:r>
      <w:r/>
    </w:p>
    <w:p>
      <w:pPr>
        <w:pStyle w:val="1049"/>
        <w:rPr>
          <w:rFonts w:hint="eastAsia"/>
          <w:highlight w:val="none"/>
        </w:rPr>
      </w:pPr>
      <w:r>
        <w:rPr>
          <w:rFonts w:ascii="宋体" w:hAnsi="宋体" w:cs="宋体"/>
          <w:sz w:val="24"/>
          <w:szCs w:val="24"/>
          <w:highlight w:val="none"/>
        </w:rPr>
        <w:br w:type="page" w:clear="all"/>
      </w:r>
      <w:r/>
    </w:p>
    <w:p>
      <w:pPr>
        <w:rPr>
          <w:rFonts w:hint="eastAsia"/>
          <w:highlight w:val="none"/>
        </w:rPr>
      </w:pPr>
      <w:r>
        <w:rPr>
          <w:rFonts w:hint="eastAsia"/>
          <w:highlight w:val="none"/>
        </w:rPr>
      </w:r>
      <w:r/>
    </w:p>
    <w:p>
      <w:pPr>
        <w:pStyle w:val="1049"/>
        <w:spacing w:line="360" w:lineRule="auto"/>
        <w:rPr>
          <w:rFonts w:hint="eastAsia"/>
          <w:highlight w:val="none"/>
        </w:rPr>
      </w:pPr>
      <w:r/>
      <w:bookmarkStart w:id="97" w:name="_Toc27593"/>
      <w:r>
        <w:rPr>
          <w:rFonts w:hint="eastAsia"/>
          <w:highlight w:val="none"/>
        </w:rPr>
        <w:t xml:space="preserve">第五章 政府采购合同（格式）</w:t>
      </w:r>
      <w:bookmarkEnd w:id="97"/>
      <w:r/>
      <w:r/>
    </w:p>
    <w:p>
      <w:pPr>
        <w:ind w:left="420"/>
        <w:jc w:val="right"/>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ind w:left="420"/>
        <w:jc w:val="right"/>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ind w:left="420"/>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r>
      <w:r/>
    </w:p>
    <w:p>
      <w:pPr>
        <w:pStyle w:val="1076"/>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1076"/>
        <w:ind w:firstLine="0"/>
        <w:rPr>
          <w:rFonts w:hint="eastAsia" w:hAnsi="宋体" w:cs="宋体"/>
          <w:szCs w:val="24"/>
          <w:highlight w:val="none"/>
        </w:rPr>
      </w:pPr>
      <w:r>
        <w:rPr>
          <w:rFonts w:hint="eastAsia" w:hAnsi="宋体" w:cs="宋体"/>
          <w:szCs w:val="24"/>
          <w:highlight w:val="none"/>
        </w:rPr>
      </w:r>
      <w:r/>
    </w:p>
    <w:p>
      <w:pPr>
        <w:pStyle w:val="1076"/>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firstLine="114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1077"/>
        <w:ind w:left="960" w:firstLine="1140"/>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1077"/>
        <w:ind w:left="960" w:firstLine="1140"/>
        <w:spacing w:before="120" w:line="22" w:lineRule="atLeast"/>
        <w:rPr>
          <w:rFonts w:hint="eastAsia" w:ascii="宋体" w:hAnsi="宋体" w:eastAsia="宋体" w:cs="宋体"/>
          <w:bCs/>
          <w:highlight w:val="none"/>
        </w:rPr>
      </w:pPr>
      <w:r>
        <w:rPr>
          <w:rFonts w:hint="eastAsia" w:ascii="宋体" w:hAnsi="宋体" w:eastAsia="宋体" w:cs="宋体"/>
          <w:bCs/>
          <w:highlight w:val="none"/>
        </w:rPr>
        <w:t xml:space="preserve">项目编号：</w:t>
      </w:r>
      <w:r>
        <w:rPr>
          <w:rFonts w:hint="eastAsia" w:ascii="宋体" w:hAnsi="宋体" w:eastAsia="宋体" w:cs="宋体"/>
          <w:bCs/>
          <w:highlight w:val="none"/>
          <w:u w:val="single"/>
        </w:rPr>
        <w:t xml:space="preserve">   </w:t>
      </w:r>
      <w:r>
        <w:rPr>
          <w:rFonts w:hint="eastAsia" w:ascii="宋体" w:hAnsi="宋体" w:eastAsia="宋体" w:cs="宋体"/>
          <w:sz w:val="24"/>
          <w:highlight w:val="none"/>
          <w:u w:val="single"/>
          <w:lang w:val="en-US" w:eastAsia="zh-CN" w:bidi="ar-SA"/>
        </w:rPr>
        <w:t xml:space="preserve">                               </w:t>
      </w:r>
      <w:r>
        <w:rPr>
          <w:rFonts w:hint="eastAsia" w:ascii="宋体" w:hAnsi="宋体" w:eastAsia="宋体" w:cs="宋体"/>
          <w:highlight w:val="none"/>
          <w:u w:val="single"/>
        </w:rPr>
        <w:t xml:space="preserve"> </w:t>
      </w:r>
      <w:r>
        <w:rPr>
          <w:rFonts w:hint="eastAsia" w:ascii="宋体" w:hAnsi="宋体" w:eastAsia="宋体" w:cs="宋体"/>
          <w:bCs/>
          <w:highlight w:val="none"/>
        </w:rPr>
        <w:t xml:space="preserve">   </w:t>
      </w:r>
      <w:r/>
    </w:p>
    <w:p>
      <w:pPr>
        <w:pStyle w:val="1077"/>
        <w:ind w:left="960" w:firstLine="1140"/>
        <w:spacing w:before="120" w:line="22" w:lineRule="atLeast"/>
        <w:rPr>
          <w:rFonts w:hint="eastAsia" w:ascii="宋体" w:hAnsi="宋体" w:cs="宋体"/>
          <w:highlight w:val="none"/>
        </w:rPr>
      </w:pPr>
      <w:r>
        <w:rPr>
          <w:rFonts w:hint="eastAsia" w:ascii="宋体" w:hAnsi="宋体" w:eastAsia="宋体" w:cs="宋体"/>
          <w:bCs/>
          <w:highlight w:val="none"/>
        </w:rPr>
        <w:t xml:space="preserve">   </w:t>
      </w:r>
      <w:r/>
    </w:p>
    <w:p>
      <w:pPr>
        <w:ind w:left="960" w:firstLine="114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ind w:left="960" w:firstLine="1140"/>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firstLine="114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ind w:left="960" w:firstLine="1140"/>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firstLine="114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ind w:left="960" w:firstLine="1140"/>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firstLine="114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left="960" w:firstLine="630"/>
        <w:rPr>
          <w:rFonts w:hint="eastAsia"/>
          <w:highlight w:val="none"/>
        </w:rPr>
      </w:pPr>
      <w:r>
        <w:rPr>
          <w:rFonts w:hint="eastAsia"/>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highlight w:val="none"/>
        </w:rPr>
      </w:r>
      <w:r/>
    </w:p>
    <w:p>
      <w:pPr>
        <w:ind w:firstLine="480"/>
        <w:spacing w:line="560" w:lineRule="exact"/>
        <w:rPr>
          <w:rStyle w:val="1093"/>
          <w:rFonts w:ascii="宋体" w:hAnsi="宋体"/>
          <w:sz w:val="24"/>
          <w:szCs w:val="24"/>
          <w:highlight w:val="none"/>
        </w:rPr>
      </w:pPr>
      <w:r/>
      <w:bookmarkStart w:id="98" w:name="_Toc26088"/>
      <w:r>
        <w:rPr>
          <w:rStyle w:val="1093"/>
          <w:rFonts w:ascii="宋体" w:hAnsi="宋体"/>
          <w:sz w:val="24"/>
          <w:highlight w:val="none"/>
          <w:u w:val="single"/>
          <w:lang w:val="zh-CN"/>
        </w:rPr>
        <w:t xml:space="preserve"> </w:t>
      </w:r>
      <w:r>
        <w:rPr>
          <w:rStyle w:val="1093"/>
          <w:rFonts w:hint="eastAsia" w:ascii="宋体" w:hAnsi="宋体"/>
          <w:sz w:val="24"/>
          <w:highlight w:val="none"/>
          <w:u w:val="single"/>
          <w:lang w:val="en-US" w:eastAsia="zh-CN"/>
        </w:rPr>
        <w:t xml:space="preserve"> </w:t>
      </w:r>
      <w:r>
        <w:rPr>
          <w:rStyle w:val="1093"/>
          <w:rFonts w:ascii="宋体" w:hAnsi="宋体"/>
          <w:sz w:val="24"/>
          <w:highlight w:val="none"/>
          <w:u w:val="single"/>
          <w:lang w:val="zh-CN"/>
        </w:rPr>
        <w:t xml:space="preserve"> </w:t>
      </w:r>
      <w:r>
        <w:rPr>
          <w:rStyle w:val="1093"/>
          <w:rFonts w:ascii="宋体" w:hAnsi="宋体"/>
          <w:sz w:val="24"/>
          <w:highlight w:val="none"/>
          <w:u w:val="none"/>
          <w:lang w:val="zh-CN"/>
        </w:rPr>
        <w:t xml:space="preserve">年</w:t>
      </w:r>
      <w:r>
        <w:rPr>
          <w:rStyle w:val="1093"/>
          <w:rFonts w:ascii="宋体" w:hAnsi="宋体"/>
          <w:sz w:val="24"/>
          <w:highlight w:val="none"/>
          <w:u w:val="single"/>
          <w:lang w:val="zh-CN"/>
        </w:rPr>
        <w:t xml:space="preserve"> </w:t>
      </w:r>
      <w:r>
        <w:rPr>
          <w:rStyle w:val="1093"/>
          <w:rFonts w:hint="eastAsia" w:ascii="宋体" w:hAnsi="宋体"/>
          <w:sz w:val="24"/>
          <w:highlight w:val="none"/>
          <w:u w:val="single"/>
          <w:lang w:val="en-US" w:eastAsia="zh-CN"/>
        </w:rPr>
        <w:t xml:space="preserve"> </w:t>
      </w:r>
      <w:r>
        <w:rPr>
          <w:rStyle w:val="1093"/>
          <w:rFonts w:ascii="宋体" w:hAnsi="宋体"/>
          <w:sz w:val="24"/>
          <w:highlight w:val="none"/>
          <w:u w:val="single"/>
          <w:lang w:val="zh-CN"/>
        </w:rPr>
        <w:t xml:space="preserve"> </w:t>
      </w:r>
      <w:r>
        <w:rPr>
          <w:rStyle w:val="1093"/>
          <w:rFonts w:ascii="宋体" w:hAnsi="宋体"/>
          <w:sz w:val="24"/>
          <w:highlight w:val="none"/>
          <w:u w:val="none"/>
          <w:lang w:val="zh-CN"/>
        </w:rPr>
        <w:t xml:space="preserve">月</w:t>
      </w:r>
      <w:r>
        <w:rPr>
          <w:rStyle w:val="1093"/>
          <w:rFonts w:ascii="宋体" w:hAnsi="宋体"/>
          <w:sz w:val="24"/>
          <w:highlight w:val="none"/>
          <w:u w:val="single"/>
          <w:lang w:val="zh-CN"/>
        </w:rPr>
        <w:t xml:space="preserve"> </w:t>
      </w:r>
      <w:r>
        <w:rPr>
          <w:rStyle w:val="1093"/>
          <w:rFonts w:hint="eastAsia" w:ascii="宋体" w:hAnsi="宋体"/>
          <w:sz w:val="24"/>
          <w:highlight w:val="none"/>
          <w:u w:val="single"/>
          <w:lang w:val="en-US" w:eastAsia="zh-CN"/>
        </w:rPr>
        <w:t xml:space="preserve"> </w:t>
      </w:r>
      <w:r>
        <w:rPr>
          <w:rStyle w:val="1093"/>
          <w:rFonts w:ascii="宋体" w:hAnsi="宋体"/>
          <w:sz w:val="24"/>
          <w:highlight w:val="none"/>
          <w:u w:val="single"/>
          <w:lang w:val="zh-CN"/>
        </w:rPr>
        <w:t xml:space="preserve"> </w:t>
      </w:r>
      <w:r>
        <w:rPr>
          <w:rStyle w:val="1093"/>
          <w:rFonts w:ascii="宋体" w:hAnsi="宋体"/>
          <w:sz w:val="24"/>
          <w:highlight w:val="none"/>
          <w:lang w:val="zh-CN"/>
        </w:rPr>
        <w:t xml:space="preserve">日</w:t>
      </w:r>
      <w:r>
        <w:rPr>
          <w:rStyle w:val="1093"/>
          <w:rFonts w:ascii="宋体" w:hAnsi="宋体"/>
          <w:sz w:val="24"/>
          <w:highlight w:val="none"/>
        </w:rPr>
        <w:t xml:space="preserve">，</w:t>
      </w:r>
      <w:r>
        <w:rPr>
          <w:rStyle w:val="1093"/>
          <w:rFonts w:hint="eastAsia" w:ascii="宋体" w:hAnsi="宋体" w:cs="Times New Roman"/>
          <w:sz w:val="24"/>
          <w:highlight w:val="none"/>
          <w:u w:val="single"/>
          <w:lang w:eastAsia="zh-CN"/>
        </w:rPr>
        <w:t xml:space="preserve">江苏省宜兴第一中学周铁分校</w:t>
      </w:r>
      <w:r>
        <w:rPr>
          <w:rStyle w:val="1093"/>
          <w:rFonts w:ascii="宋体" w:hAnsi="宋体"/>
          <w:sz w:val="24"/>
          <w:highlight w:val="none"/>
        </w:rPr>
        <w:t xml:space="preserve">以</w:t>
      </w:r>
      <w:r>
        <w:rPr>
          <w:rStyle w:val="1093"/>
          <w:rFonts w:hint="eastAsia" w:ascii="宋体" w:hAnsi="宋体"/>
          <w:sz w:val="24"/>
          <w:highlight w:val="none"/>
          <w:u w:val="single"/>
          <w:lang w:val="en-US" w:eastAsia="zh-CN"/>
        </w:rPr>
        <w:t xml:space="preserve">公开招标</w:t>
      </w:r>
      <w:r>
        <w:rPr>
          <w:rStyle w:val="1093"/>
          <w:rFonts w:hint="eastAsia" w:ascii="宋体" w:hAnsi="宋体"/>
          <w:sz w:val="24"/>
          <w:highlight w:val="none"/>
          <w:u w:val="none"/>
          <w:lang w:val="en-US" w:eastAsia="zh-CN"/>
        </w:rPr>
        <w:t xml:space="preserve">采购方式</w:t>
      </w:r>
      <w:r>
        <w:rPr>
          <w:rStyle w:val="1093"/>
          <w:rFonts w:ascii="宋体" w:hAnsi="宋体"/>
          <w:sz w:val="24"/>
          <w:highlight w:val="none"/>
        </w:rPr>
        <w:t xml:space="preserve">对</w:t>
      </w:r>
      <w:r>
        <w:rPr>
          <w:rStyle w:val="1093"/>
          <w:rFonts w:hint="eastAsia" w:ascii="宋体" w:hAnsi="宋体"/>
          <w:sz w:val="24"/>
          <w:highlight w:val="none"/>
          <w:u w:val="single"/>
          <w:lang w:eastAsia="zh-CN"/>
        </w:rPr>
        <w:t xml:space="preserve">理化生实验室设备采购(第二批)</w:t>
      </w:r>
      <w:r>
        <w:rPr>
          <w:rStyle w:val="1093"/>
          <w:rFonts w:ascii="宋体" w:hAnsi="宋体"/>
          <w:sz w:val="24"/>
          <w:highlight w:val="none"/>
        </w:rPr>
        <w:t xml:space="preserve">进行了采购。经</w:t>
      </w:r>
      <w:r>
        <w:rPr>
          <w:rStyle w:val="1093"/>
          <w:rFonts w:hint="eastAsia" w:ascii="宋体" w:hAnsi="宋体"/>
          <w:sz w:val="24"/>
          <w:highlight w:val="none"/>
          <w:lang w:val="en-US" w:eastAsia="zh-CN"/>
        </w:rPr>
        <w:t xml:space="preserve">评标委员会</w:t>
      </w:r>
      <w:r>
        <w:rPr>
          <w:rStyle w:val="1093"/>
          <w:rFonts w:ascii="宋体" w:hAnsi="宋体"/>
          <w:sz w:val="24"/>
          <w:highlight w:val="none"/>
        </w:rPr>
        <w:t xml:space="preserve">评审，确定 </w:t>
      </w:r>
      <w:r>
        <w:rPr>
          <w:rStyle w:val="1093"/>
          <w:rFonts w:ascii="宋体" w:hAnsi="宋体"/>
          <w:sz w:val="24"/>
          <w:highlight w:val="none"/>
          <w:u w:val="single"/>
        </w:rPr>
        <w:t xml:space="preserve">（</w:t>
      </w:r>
      <w:r>
        <w:rPr>
          <w:rStyle w:val="1093"/>
          <w:rFonts w:hint="eastAsia" w:ascii="宋体" w:hAnsi="宋体"/>
          <w:sz w:val="24"/>
          <w:highlight w:val="none"/>
          <w:u w:val="single"/>
          <w:lang w:val="en-US" w:eastAsia="zh-CN"/>
        </w:rPr>
        <w:t xml:space="preserve">中标</w:t>
      </w:r>
      <w:r>
        <w:rPr>
          <w:rStyle w:val="1093"/>
          <w:rFonts w:ascii="宋体" w:hAnsi="宋体"/>
          <w:sz w:val="24"/>
          <w:highlight w:val="none"/>
          <w:u w:val="single"/>
        </w:rPr>
        <w:t xml:space="preserve">供应商名称）</w:t>
      </w:r>
      <w:r>
        <w:rPr>
          <w:rStyle w:val="1093"/>
          <w:rFonts w:ascii="宋体" w:hAnsi="宋体"/>
          <w:sz w:val="24"/>
          <w:highlight w:val="none"/>
        </w:rPr>
        <w:t xml:space="preserve">为该项目</w:t>
      </w:r>
      <w:r>
        <w:rPr>
          <w:rStyle w:val="1093"/>
          <w:rFonts w:hint="eastAsia" w:ascii="宋体" w:hAnsi="宋体"/>
          <w:sz w:val="24"/>
          <w:highlight w:val="none"/>
          <w:lang w:eastAsia="zh-CN"/>
        </w:rPr>
        <w:t xml:space="preserve">中标</w:t>
      </w:r>
      <w:r>
        <w:rPr>
          <w:rStyle w:val="1093"/>
          <w:rFonts w:ascii="宋体" w:hAnsi="宋体"/>
          <w:sz w:val="24"/>
          <w:highlight w:val="none"/>
        </w:rPr>
        <w:t xml:space="preserve">供应商。现于</w:t>
      </w:r>
      <w:r>
        <w:rPr>
          <w:rStyle w:val="1093"/>
          <w:rFonts w:hint="eastAsia" w:ascii="宋体" w:hAnsi="宋体"/>
          <w:sz w:val="24"/>
          <w:highlight w:val="none"/>
          <w:lang w:eastAsia="zh-CN"/>
        </w:rPr>
        <w:t xml:space="preserve">中标</w:t>
      </w:r>
      <w:r>
        <w:rPr>
          <w:rStyle w:val="1093"/>
          <w:rFonts w:ascii="宋体" w:hAnsi="宋体"/>
          <w:sz w:val="24"/>
          <w:highlight w:val="none"/>
        </w:rPr>
        <w:t xml:space="preserve">通知书发出之日起三十日内，按照采购文件确定的事项签订本合同。</w:t>
      </w:r>
      <w:r/>
    </w:p>
    <w:p>
      <w:pPr>
        <w:ind w:firstLine="480"/>
        <w:spacing w:line="560" w:lineRule="exact"/>
        <w:rPr>
          <w:rStyle w:val="1093"/>
          <w:rFonts w:ascii="宋体" w:hAnsi="宋体"/>
          <w:sz w:val="24"/>
          <w:szCs w:val="24"/>
          <w:highlight w:val="none"/>
        </w:rPr>
      </w:pPr>
      <w:r>
        <w:rPr>
          <w:rStyle w:val="1093"/>
          <w:rFonts w:ascii="宋体" w:hAnsi="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szCs w:val="24"/>
          <w:highlight w:val="none"/>
          <w:u w:val="single"/>
          <w:lang w:eastAsia="zh-CN"/>
        </w:rPr>
        <w:t xml:space="preserve">江苏省宜兴第一中学周铁分校</w:t>
      </w:r>
      <w:r>
        <w:rPr>
          <w:rStyle w:val="1093"/>
          <w:rFonts w:ascii="宋体" w:hAnsi="宋体"/>
          <w:sz w:val="24"/>
          <w:highlight w:val="none"/>
          <w:lang w:val="zh-CN"/>
        </w:rPr>
        <w:t xml:space="preserve">(以下简称：甲方)和</w:t>
      </w:r>
      <w:r>
        <w:rPr>
          <w:rStyle w:val="1093"/>
          <w:rFonts w:ascii="宋体" w:hAnsi="宋体"/>
          <w:sz w:val="24"/>
          <w:highlight w:val="none"/>
          <w:u w:val="single"/>
        </w:rPr>
        <w:t xml:space="preserve"> （</w:t>
      </w:r>
      <w:r>
        <w:rPr>
          <w:rStyle w:val="1093"/>
          <w:rFonts w:hint="eastAsia" w:ascii="宋体" w:hAnsi="宋体"/>
          <w:sz w:val="24"/>
          <w:highlight w:val="none"/>
          <w:u w:val="single"/>
          <w:lang w:val="en-US" w:eastAsia="zh-CN"/>
        </w:rPr>
        <w:t xml:space="preserve">中标</w:t>
      </w:r>
      <w:r>
        <w:rPr>
          <w:rStyle w:val="1093"/>
          <w:rFonts w:ascii="宋体" w:hAnsi="宋体"/>
          <w:sz w:val="24"/>
          <w:highlight w:val="none"/>
          <w:u w:val="single"/>
        </w:rPr>
        <w:t xml:space="preserve">供应商名称）</w:t>
      </w:r>
      <w:r>
        <w:rPr>
          <w:rStyle w:val="1093"/>
          <w:rFonts w:ascii="宋体" w:hAnsi="宋体"/>
          <w:sz w:val="24"/>
          <w:highlight w:val="none"/>
          <w:lang w:val="zh-CN"/>
        </w:rPr>
        <w:t xml:space="preserve">(以下简称：乙方)协商一致，约定以下合同</w:t>
      </w:r>
      <w:r>
        <w:rPr>
          <w:rStyle w:val="1093"/>
          <w:rFonts w:ascii="宋体" w:hAnsi="宋体"/>
          <w:sz w:val="24"/>
          <w:highlight w:val="none"/>
        </w:rPr>
        <w:t xml:space="preserve">条款，以兹共同遵守、全面履行。</w:t>
      </w:r>
      <w:r/>
    </w:p>
    <w:p>
      <w:pPr>
        <w:ind w:firstLine="482"/>
        <w:spacing w:line="560" w:lineRule="exact"/>
        <w:rPr>
          <w:rStyle w:val="1093"/>
          <w:rFonts w:ascii="宋体" w:hAnsi="宋体"/>
          <w:sz w:val="24"/>
          <w:szCs w:val="24"/>
          <w:highlight w:val="none"/>
        </w:rPr>
      </w:pPr>
      <w:r>
        <w:rPr>
          <w:rStyle w:val="1093"/>
          <w:rFonts w:ascii="宋体" w:hAnsi="宋体"/>
          <w:b/>
          <w:sz w:val="24"/>
          <w:szCs w:val="24"/>
          <w:highlight w:val="none"/>
        </w:rPr>
        <w:t xml:space="preserve">1.1 合同组成部分</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中标通知书；</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投标文件（含澄清或者说明文件）；</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 招标文件（含澄清或者修改文件）；</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 其他相关采购文件。</w:t>
      </w:r>
      <w:r/>
    </w:p>
    <w:p>
      <w:pPr>
        <w:ind w:firstLine="482"/>
        <w:spacing w:line="560" w:lineRule="exact"/>
        <w:rPr>
          <w:rFonts w:hint="eastAsia" w:ascii="宋体" w:hAnsi="宋体" w:cs="宋体"/>
          <w:b/>
          <w:color w:val="000000"/>
          <w:sz w:val="24"/>
          <w:highlight w:val="none"/>
        </w:rPr>
      </w:pPr>
      <w:r/>
      <w:bookmarkStart w:id="99" w:name="_Toc24300"/>
      <w:r/>
      <w:bookmarkStart w:id="100" w:name="_Toc27126"/>
      <w:r/>
      <w:bookmarkStart w:id="101" w:name="_Toc21295"/>
      <w:r>
        <w:rPr>
          <w:rFonts w:hint="eastAsia" w:ascii="宋体" w:hAnsi="宋体" w:cs="宋体"/>
          <w:b/>
          <w:color w:val="000000"/>
          <w:sz w:val="24"/>
          <w:highlight w:val="none"/>
        </w:rPr>
        <w:t xml:space="preserve">1.2 货物</w:t>
      </w:r>
      <w:bookmarkEnd w:id="99"/>
      <w:r/>
      <w:bookmarkEnd w:id="100"/>
      <w:r/>
      <w:bookmarkEnd w:id="101"/>
      <w:r/>
      <w:r/>
    </w:p>
    <w:p>
      <w:pPr>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1.3 价款</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本合同总价为：￥元（大写：元人民币）。</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分项价格：</w:t>
      </w:r>
      <w:r/>
    </w:p>
    <w:p>
      <w:pPr>
        <w:rPr>
          <w:rStyle w:val="1093"/>
          <w:sz w:val="20"/>
          <w:highlight w:val="none"/>
        </w:rPr>
      </w:pPr>
      <w:r>
        <w:rPr>
          <w:sz w:val="20"/>
          <w:highlight w:val="none"/>
        </w:rPr>
      </w:r>
      <w:r/>
    </w:p>
    <w:tbl>
      <w:tblPr>
        <w:tblStyle w:val="874"/>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jc w:val="center"/>
              <w:spacing w:line="560" w:lineRule="exact"/>
              <w:rPr>
                <w:rStyle w:val="1093"/>
                <w:rFonts w:ascii="宋体" w:hAnsi="宋体"/>
                <w:sz w:val="24"/>
                <w:szCs w:val="24"/>
                <w:highlight w:val="none"/>
              </w:rPr>
            </w:pPr>
            <w:r>
              <w:rPr>
                <w:rStyle w:val="1093"/>
                <w:rFonts w:ascii="宋体" w:hAnsi="宋体"/>
                <w:sz w:val="24"/>
                <w:szCs w:val="24"/>
                <w:highlight w:val="none"/>
              </w:rPr>
              <w:t xml:space="preserve">序号</w:t>
            </w:r>
            <w:r/>
          </w:p>
        </w:tc>
        <w:tc>
          <w:tcPr>
            <w:tcW w:w="3402" w:type="dxa"/>
            <w:vAlign w:val="center"/>
            <w:textDirection w:val="lrTb"/>
            <w:noWrap w:val="false"/>
          </w:tcPr>
          <w:p>
            <w:pPr>
              <w:ind w:firstLine="200"/>
              <w:jc w:val="center"/>
              <w:spacing w:line="560" w:lineRule="exact"/>
              <w:rPr>
                <w:rStyle w:val="1093"/>
                <w:rFonts w:ascii="宋体" w:hAnsi="宋体"/>
                <w:sz w:val="24"/>
                <w:szCs w:val="24"/>
                <w:highlight w:val="none"/>
              </w:rPr>
            </w:pPr>
            <w:r>
              <w:rPr>
                <w:rStyle w:val="1093"/>
                <w:rFonts w:ascii="宋体" w:hAnsi="宋体"/>
                <w:sz w:val="24"/>
                <w:szCs w:val="24"/>
                <w:highlight w:val="none"/>
              </w:rPr>
              <w:t xml:space="preserve">分项名称</w:t>
            </w:r>
            <w:r/>
          </w:p>
        </w:tc>
        <w:tc>
          <w:tcPr>
            <w:tcW w:w="2552" w:type="dxa"/>
            <w:vAlign w:val="center"/>
            <w:textDirection w:val="lrTb"/>
            <w:noWrap w:val="false"/>
          </w:tcPr>
          <w:p>
            <w:pPr>
              <w:jc w:val="center"/>
              <w:spacing w:line="560" w:lineRule="exact"/>
              <w:rPr>
                <w:rStyle w:val="1093"/>
                <w:rFonts w:ascii="宋体" w:hAnsi="宋体"/>
                <w:sz w:val="24"/>
                <w:szCs w:val="24"/>
                <w:highlight w:val="none"/>
              </w:rPr>
            </w:pPr>
            <w:r>
              <w:rPr>
                <w:rStyle w:val="1093"/>
                <w:rFonts w:ascii="宋体" w:hAnsi="宋体"/>
                <w:sz w:val="24"/>
                <w:szCs w:val="24"/>
                <w:highlight w:val="none"/>
              </w:rPr>
              <w:t xml:space="preserve">分项价格</w:t>
            </w:r>
            <w:r/>
          </w:p>
        </w:tc>
      </w:tr>
      <w:tr>
        <w:trPr>
          <w:jc w:val="center"/>
          <w:trHeight w:val="369"/>
        </w:trPr>
        <w:tc>
          <w:tcPr>
            <w:tcW w:w="1201"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340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255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r>
      <w:tr>
        <w:trPr>
          <w:jc w:val="center"/>
          <w:trHeight w:val="369"/>
        </w:trPr>
        <w:tc>
          <w:tcPr>
            <w:tcW w:w="1201"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340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255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r>
      <w:tr>
        <w:trPr>
          <w:jc w:val="center"/>
          <w:trHeight w:val="369"/>
        </w:trPr>
        <w:tc>
          <w:tcPr>
            <w:tcW w:w="1201"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340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255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r>
      <w:tr>
        <w:trPr>
          <w:jc w:val="center"/>
          <w:trHeight w:val="369"/>
        </w:trPr>
        <w:tc>
          <w:tcPr>
            <w:tcW w:w="1201"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340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c>
          <w:tcPr>
            <w:tcW w:w="255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r>
      <w:tr>
        <w:trPr>
          <w:jc w:val="center"/>
          <w:trHeight w:val="369"/>
        </w:trPr>
        <w:tc>
          <w:tcPr>
            <w:gridSpan w:val="2"/>
            <w:tcW w:w="4603" w:type="dxa"/>
            <w:vAlign w:val="center"/>
            <w:textDirection w:val="lrTb"/>
            <w:noWrap w:val="false"/>
          </w:tcPr>
          <w:p>
            <w:pPr>
              <w:ind w:firstLine="200"/>
              <w:jc w:val="center"/>
              <w:spacing w:line="560" w:lineRule="exact"/>
              <w:rPr>
                <w:rStyle w:val="1093"/>
                <w:rFonts w:ascii="宋体" w:hAnsi="宋体"/>
                <w:sz w:val="24"/>
                <w:szCs w:val="24"/>
                <w:highlight w:val="none"/>
              </w:rPr>
            </w:pPr>
            <w:r>
              <w:rPr>
                <w:rStyle w:val="1093"/>
                <w:rFonts w:ascii="宋体" w:hAnsi="宋体"/>
                <w:sz w:val="24"/>
                <w:szCs w:val="24"/>
                <w:highlight w:val="none"/>
              </w:rPr>
              <w:t xml:space="preserve">总价</w:t>
            </w:r>
            <w:r/>
          </w:p>
        </w:tc>
        <w:tc>
          <w:tcPr>
            <w:tcW w:w="2552" w:type="dxa"/>
            <w:vAlign w:val="center"/>
            <w:textDirection w:val="lrTb"/>
            <w:noWrap w:val="false"/>
          </w:tcPr>
          <w:p>
            <w:pPr>
              <w:ind w:firstLine="200"/>
              <w:jc w:val="center"/>
              <w:spacing w:line="560" w:lineRule="exact"/>
              <w:rPr>
                <w:rStyle w:val="1093"/>
                <w:rFonts w:ascii="宋体" w:hAnsi="宋体"/>
                <w:sz w:val="24"/>
                <w:szCs w:val="24"/>
                <w:highlight w:val="none"/>
              </w:rPr>
            </w:pPr>
            <w:r>
              <w:rPr>
                <w:rFonts w:ascii="宋体" w:hAnsi="宋体"/>
                <w:sz w:val="24"/>
                <w:szCs w:val="24"/>
                <w:highlight w:val="none"/>
              </w:rPr>
            </w:r>
            <w:r/>
          </w:p>
        </w:tc>
      </w:tr>
    </w:tbl>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1.4 付款方式和发票开具方式</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1.4.1付款方式：</w:t>
      </w:r>
      <w:r>
        <w:rPr>
          <w:rStyle w:val="1093"/>
          <w:rFonts w:hint="eastAsia" w:ascii="宋体" w:hAnsi="宋体"/>
          <w:sz w:val="24"/>
          <w:szCs w:val="24"/>
          <w:highlight w:val="none"/>
          <w:u w:val="single"/>
          <w:lang w:val="en-US"/>
        </w:rPr>
        <w:t xml:space="preserve">                        </w:t>
      </w:r>
      <w:r>
        <w:rPr>
          <w:rStyle w:val="1093"/>
          <w:rFonts w:ascii="宋体" w:hAnsi="宋体"/>
          <w:sz w:val="24"/>
          <w:szCs w:val="24"/>
          <w:highlight w:val="none"/>
        </w:rPr>
        <w:t xml:space="preserve">；</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1.4.2 发票开具方式：</w:t>
      </w:r>
      <w:r>
        <w:rPr>
          <w:rStyle w:val="1093"/>
          <w:rFonts w:hint="eastAsia" w:ascii="宋体" w:hAnsi="宋体"/>
          <w:sz w:val="24"/>
          <w:szCs w:val="24"/>
          <w:highlight w:val="none"/>
          <w:u w:val="single"/>
          <w:lang w:val="en-US"/>
        </w:rPr>
        <w:t xml:space="preserve">                   </w:t>
      </w:r>
      <w:r>
        <w:rPr>
          <w:rStyle w:val="1093"/>
          <w:rFonts w:ascii="宋体" w:hAnsi="宋体"/>
          <w:sz w:val="24"/>
          <w:szCs w:val="24"/>
          <w:highlight w:val="none"/>
        </w:rPr>
        <w:t xml:space="preserve">。</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1.5 履行期限、地点和方式</w:t>
      </w:r>
      <w:r/>
    </w:p>
    <w:p>
      <w:pPr>
        <w:ind w:firstLine="480"/>
        <w:spacing w:line="560" w:lineRule="exact"/>
        <w:rPr>
          <w:rStyle w:val="1093"/>
          <w:rFonts w:ascii="宋体" w:hAnsi="宋体"/>
          <w:sz w:val="24"/>
          <w:szCs w:val="24"/>
          <w:highlight w:val="none"/>
          <w:u w:val="single"/>
        </w:rPr>
      </w:pPr>
      <w:r>
        <w:rPr>
          <w:rStyle w:val="1093"/>
          <w:rFonts w:ascii="宋体" w:hAnsi="宋体"/>
          <w:sz w:val="24"/>
          <w:szCs w:val="24"/>
          <w:highlight w:val="none"/>
        </w:rPr>
        <w:t xml:space="preserve">1.5.1 履行期限：</w:t>
      </w:r>
      <w:r>
        <w:rPr>
          <w:rStyle w:val="1093"/>
          <w:rFonts w:hint="eastAsia" w:ascii="宋体" w:hAnsi="宋体"/>
          <w:sz w:val="24"/>
          <w:szCs w:val="24"/>
          <w:highlight w:val="none"/>
          <w:u w:val="single"/>
          <w:lang w:val="en-US"/>
        </w:rPr>
        <w:t xml:space="preserve">                      </w:t>
      </w:r>
      <w:r>
        <w:rPr>
          <w:rStyle w:val="1093"/>
          <w:rFonts w:ascii="宋体" w:hAnsi="宋体"/>
          <w:sz w:val="24"/>
          <w:szCs w:val="24"/>
          <w:highlight w:val="none"/>
        </w:rPr>
        <w:t xml:space="preserve">；</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1.5.2 履行地点：</w:t>
      </w:r>
      <w:r>
        <w:rPr>
          <w:rStyle w:val="1093"/>
          <w:rFonts w:hint="eastAsia" w:ascii="宋体" w:hAnsi="宋体"/>
          <w:sz w:val="24"/>
          <w:szCs w:val="24"/>
          <w:highlight w:val="none"/>
          <w:u w:val="single"/>
          <w:lang w:val="en-US"/>
        </w:rPr>
        <w:t xml:space="preserve">                      </w:t>
      </w:r>
      <w:r>
        <w:rPr>
          <w:rStyle w:val="1093"/>
          <w:rFonts w:ascii="宋体" w:hAnsi="宋体"/>
          <w:sz w:val="24"/>
          <w:szCs w:val="24"/>
          <w:highlight w:val="none"/>
        </w:rPr>
        <w:t xml:space="preserve">；</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1.5.3 履行方式：</w:t>
      </w:r>
      <w:r>
        <w:rPr>
          <w:rStyle w:val="1093"/>
          <w:rFonts w:ascii="宋体" w:hAnsi="宋体"/>
          <w:sz w:val="24"/>
          <w:szCs w:val="24"/>
          <w:highlight w:val="none"/>
          <w:u w:val="single"/>
        </w:rPr>
        <w:t xml:space="preserve">　　　　　　　　　    </w:t>
      </w:r>
      <w:r>
        <w:rPr>
          <w:rStyle w:val="1093"/>
          <w:rFonts w:ascii="宋体" w:hAnsi="宋体"/>
          <w:sz w:val="24"/>
          <w:szCs w:val="24"/>
          <w:highlight w:val="none"/>
        </w:rPr>
        <w:t xml:space="preserve">。</w:t>
      </w:r>
      <w:r/>
    </w:p>
    <w:p>
      <w:pPr>
        <w:ind w:firstLine="482"/>
        <w:spacing w:line="560" w:lineRule="exact"/>
        <w:rPr>
          <w:rStyle w:val="1093"/>
          <w:rFonts w:ascii="宋体" w:hAnsi="宋体"/>
          <w:sz w:val="24"/>
          <w:szCs w:val="24"/>
          <w:highlight w:val="none"/>
          <w:u w:val="single"/>
        </w:rPr>
      </w:pPr>
      <w:r>
        <w:rPr>
          <w:rStyle w:val="1093"/>
          <w:rFonts w:ascii="宋体" w:hAnsi="宋体"/>
          <w:b/>
          <w:sz w:val="24"/>
          <w:szCs w:val="24"/>
          <w:highlight w:val="none"/>
        </w:rPr>
        <w:t xml:space="preserve">1.6 违约责任</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w:t>
      </w:r>
      <w:r>
        <w:rPr>
          <w:rStyle w:val="1093"/>
          <w:rFonts w:ascii="宋体" w:hAnsi="宋体"/>
          <w:color w:val="000000" w:themeColor="text1"/>
          <w:sz w:val="24"/>
          <w:szCs w:val="24"/>
          <w:highlight w:val="none"/>
          <w14:textFill>
            <w14:solidFill>
              <w14:schemeClr w14:val="tx1"/>
            </w14:solidFill>
          </w14:textFill>
        </w:rPr>
        <w:t xml:space="preserve">行为（</w:t>
      </w:r>
      <w:r>
        <w:rPr>
          <w:rStyle w:val="1093"/>
          <w:rFonts w:hint="eastAsia" w:ascii="宋体" w:hAnsi="宋体"/>
          <w:color w:val="000000" w:themeColor="text1"/>
          <w:sz w:val="24"/>
          <w:szCs w:val="24"/>
          <w:highlight w:val="none"/>
          <w:lang w:val="en-US" w:eastAsia="zh-CN"/>
          <w14:textFill>
            <w14:solidFill>
              <w14:schemeClr w14:val="tx1"/>
            </w14:solidFill>
          </w14:textFill>
        </w:rPr>
        <w:t xml:space="preserve">包括但不限于</w:t>
      </w:r>
      <w:r>
        <w:rPr>
          <w:rStyle w:val="1093"/>
          <w:rFonts w:ascii="宋体" w:hAnsi="宋体"/>
          <w:color w:val="000000" w:themeColor="text1"/>
          <w:sz w:val="24"/>
          <w:szCs w:val="24"/>
          <w:highlight w:val="none"/>
          <w14:textFill>
            <w14:solidFill>
              <w14:schemeClr w14:val="tx1"/>
            </w14:solidFill>
          </w14:textFill>
        </w:rPr>
        <w:t xml:space="preserve">提供或给予或接受或索取任何财物或其他好处或者采取其他不正当手段来影响对方当事人在合同签订、履行过程中的行为）或者欺诈行为（</w:t>
      </w:r>
      <w:r>
        <w:rPr>
          <w:rStyle w:val="1093"/>
          <w:rFonts w:hint="eastAsia" w:ascii="宋体" w:hAnsi="宋体"/>
          <w:color w:val="000000" w:themeColor="text1"/>
          <w:sz w:val="24"/>
          <w:szCs w:val="24"/>
          <w:highlight w:val="none"/>
          <w:lang w:val="en-US" w:eastAsia="zh-CN"/>
          <w14:textFill>
            <w14:solidFill>
              <w14:schemeClr w14:val="tx1"/>
            </w14:solidFill>
          </w14:textFill>
        </w:rPr>
        <w:t xml:space="preserve">包括但不限于</w:t>
      </w:r>
      <w:r>
        <w:rPr>
          <w:rStyle w:val="1093"/>
          <w:rFonts w:ascii="宋体" w:hAnsi="宋体"/>
          <w:color w:val="000000" w:themeColor="text1"/>
          <w:sz w:val="24"/>
          <w:szCs w:val="24"/>
          <w:highlight w:val="none"/>
          <w14:textFill>
            <w14:solidFill>
              <w14:schemeClr w14:val="tx1"/>
            </w14:solidFill>
          </w14:textFill>
        </w:rPr>
        <w:t xml:space="preserve">以谎报事实或隐瞒真相的方法来影响对方当事人在合同签订、履行过程中的行为）的，对方当</w:t>
      </w:r>
      <w:r>
        <w:rPr>
          <w:rStyle w:val="1093"/>
          <w:rFonts w:ascii="宋体" w:hAnsi="宋体"/>
          <w:sz w:val="24"/>
          <w:szCs w:val="24"/>
          <w:highlight w:val="none"/>
        </w:rPr>
        <w:t xml:space="preserve">事人可以书面通知违约方解除本合同；</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Style w:val="1093"/>
          <w:rFonts w:ascii="宋体" w:hAnsi="宋体"/>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1.6.7 如果出现政府采购监督管理部门在处理投诉事项期间，书面通知甲方暂停采购活动的情形，或者询问或质疑事项可能影响</w:t>
      </w:r>
      <w:r>
        <w:rPr>
          <w:rStyle w:val="1093"/>
          <w:rFonts w:hint="eastAsia" w:ascii="宋体" w:hAnsi="宋体"/>
          <w:sz w:val="24"/>
          <w:szCs w:val="24"/>
          <w:highlight w:val="none"/>
          <w:lang w:eastAsia="zh-CN"/>
        </w:rPr>
        <w:t xml:space="preserve">中标</w:t>
      </w:r>
      <w:r>
        <w:rPr>
          <w:rStyle w:val="1093"/>
          <w:rFonts w:ascii="宋体" w:hAnsi="宋体"/>
          <w:sz w:val="24"/>
          <w:szCs w:val="24"/>
          <w:highlight w:val="none"/>
        </w:rPr>
        <w:t xml:space="preserve">结果的，导致甲方中止履行合同的情形，均不视为甲方违约。</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1.7 合同争议的解决</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1.7.2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1.8 合同生效</w:t>
      </w:r>
      <w:r/>
    </w:p>
    <w:p>
      <w:pPr>
        <w:ind w:firstLine="480"/>
        <w:spacing w:line="560" w:lineRule="exact"/>
        <w:rPr>
          <w:rStyle w:val="1093"/>
          <w:rFonts w:ascii="宋体" w:hAnsi="宋体"/>
          <w:sz w:val="24"/>
          <w:highlight w:val="none"/>
        </w:rPr>
      </w:pPr>
      <w:r>
        <w:rPr>
          <w:rStyle w:val="1093"/>
          <w:rFonts w:ascii="宋体" w:hAnsi="宋体"/>
          <w:sz w:val="24"/>
          <w:highlight w:val="none"/>
        </w:rPr>
        <w:t xml:space="preserve">1.8.1 本合同</w:t>
      </w:r>
      <w:r>
        <w:rPr>
          <w:rStyle w:val="1093"/>
          <w:rFonts w:ascii="宋体" w:hAnsi="宋体"/>
          <w:sz w:val="24"/>
          <w:highlight w:val="none"/>
          <w:lang w:val="zh-CN"/>
        </w:rPr>
        <w:t xml:space="preserve">经甲乙双方代表签字并加盖公章（或合同章）后即生效。</w:t>
      </w:r>
      <w:r/>
    </w:p>
    <w:p>
      <w:pPr>
        <w:ind w:firstLine="480"/>
        <w:spacing w:line="560" w:lineRule="exact"/>
        <w:rPr>
          <w:rStyle w:val="1093"/>
          <w:rFonts w:ascii="宋体" w:hAnsi="宋体"/>
          <w:sz w:val="24"/>
          <w:highlight w:val="none"/>
        </w:rPr>
      </w:pPr>
      <w:r>
        <w:rPr>
          <w:rStyle w:val="1093"/>
          <w:rFonts w:ascii="宋体" w:hAnsi="宋体"/>
          <w:sz w:val="24"/>
          <w:highlight w:val="none"/>
        </w:rPr>
        <w:t xml:space="preserve">1.8.2 本合同一式肆份，供需双方各持一份，报送财政监管部门备案、</w:t>
      </w:r>
      <w:r>
        <w:rPr>
          <w:rStyle w:val="1093"/>
          <w:rFonts w:hint="eastAsia" w:ascii="宋体" w:hAnsi="宋体"/>
          <w:sz w:val="24"/>
          <w:highlight w:val="none"/>
          <w:lang w:eastAsia="zh-CN"/>
        </w:rPr>
        <w:t xml:space="preserve">江苏宏翔工程造价咨询有限公司</w:t>
      </w:r>
      <w:r>
        <w:rPr>
          <w:rStyle w:val="1093"/>
          <w:rFonts w:ascii="宋体" w:hAnsi="宋体"/>
          <w:sz w:val="24"/>
          <w:highlight w:val="none"/>
        </w:rPr>
        <w:t xml:space="preserve">存档各一份。</w:t>
      </w:r>
      <w:r/>
    </w:p>
    <w:p>
      <w:pPr>
        <w:ind w:firstLine="480"/>
        <w:spacing w:line="560" w:lineRule="exact"/>
        <w:rPr>
          <w:rStyle w:val="1093"/>
          <w:rFonts w:ascii="宋体" w:hAnsi="宋体"/>
          <w:sz w:val="24"/>
          <w:highlight w:val="none"/>
          <w:lang w:val="zh-CN"/>
        </w:rPr>
      </w:pPr>
      <w:r>
        <w:rPr>
          <w:rFonts w:ascii="宋体" w:hAnsi="宋体"/>
          <w:sz w:val="24"/>
          <w:highlight w:val="none"/>
          <w:lang w:val="zh-CN"/>
        </w:rPr>
      </w:r>
      <w:r/>
    </w:p>
    <w:tbl>
      <w:tblPr>
        <w:tblStyle w:val="874"/>
        <w:tblW w:w="9280" w:type="dxa"/>
        <w:jc w:val="center"/>
        <w:tblLayout w:type="fixed"/>
        <w:tblCellMar>
          <w:left w:w="0" w:type="dxa"/>
          <w:top w:w="0" w:type="dxa"/>
          <w:right w:w="0" w:type="dxa"/>
          <w:bottom w:w="0" w:type="dxa"/>
        </w:tblCellMar>
        <w:tblLook w:val="04A0" w:firstRow="1" w:lastRow="0" w:firstColumn="1" w:lastColumn="0" w:noHBand="0" w:noVBand="1"/>
      </w:tblPr>
      <w:tblGrid>
        <w:gridCol w:w="4640"/>
        <w:gridCol w:w="4640"/>
      </w:tblGrid>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lang w:val="zh-CN"/>
              </w:rPr>
            </w:pPr>
            <w:r>
              <w:rPr>
                <w:rStyle w:val="1093"/>
                <w:rFonts w:ascii="宋体" w:hAnsi="宋体"/>
                <w:sz w:val="24"/>
                <w:szCs w:val="24"/>
                <w:highlight w:val="none"/>
                <w:lang w:val="zh-CN"/>
              </w:rPr>
              <w:t xml:space="preserve">甲方（采购人）：</w:t>
            </w:r>
            <w:r>
              <w:rPr>
                <w:rStyle w:val="1093"/>
                <w:rFonts w:hint="eastAsia" w:ascii="宋体" w:hAnsi="宋体"/>
                <w:sz w:val="24"/>
                <w:szCs w:val="24"/>
                <w:highlight w:val="none"/>
                <w:lang w:val="en-US" w:eastAsia="zh-CN"/>
              </w:rPr>
              <w:t xml:space="preserve">             </w:t>
            </w:r>
            <w:r>
              <w:rPr>
                <w:rStyle w:val="1093"/>
                <w:rFonts w:ascii="宋体" w:hAnsi="宋体"/>
                <w:sz w:val="24"/>
                <w:szCs w:val="24"/>
                <w:highlight w:val="none"/>
                <w:lang w:val="zh-CN"/>
              </w:rPr>
              <w:t xml:space="preserve">（盖章）</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lang w:val="zh-CN"/>
              </w:rPr>
            </w:pPr>
            <w:r>
              <w:rPr>
                <w:rStyle w:val="1093"/>
                <w:rFonts w:ascii="宋体" w:hAnsi="宋体"/>
                <w:sz w:val="24"/>
                <w:szCs w:val="24"/>
                <w:highlight w:val="none"/>
                <w:lang w:val="zh-CN"/>
              </w:rPr>
              <w:t xml:space="preserve">乙方（供应商）：</w:t>
            </w:r>
            <w:r>
              <w:rPr>
                <w:rStyle w:val="1093"/>
                <w:rFonts w:hint="eastAsia" w:ascii="宋体" w:hAnsi="宋体"/>
                <w:sz w:val="24"/>
                <w:szCs w:val="24"/>
                <w:highlight w:val="none"/>
                <w:lang w:val="en-US" w:eastAsia="zh-CN"/>
              </w:rPr>
              <w:t xml:space="preserve">             </w:t>
            </w:r>
            <w:r>
              <w:rPr>
                <w:rStyle w:val="1093"/>
                <w:rFonts w:ascii="宋体" w:hAnsi="宋体"/>
                <w:sz w:val="24"/>
                <w:szCs w:val="24"/>
                <w:highlight w:val="none"/>
                <w:lang w:val="zh-CN"/>
              </w:rPr>
              <w:t xml:space="preserve">（盖章）</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lang w:val="zh-CN"/>
              </w:rPr>
            </w:pPr>
            <w:r>
              <w:rPr>
                <w:rStyle w:val="1093"/>
                <w:rFonts w:hint="eastAsia" w:ascii="宋体"/>
                <w:sz w:val="24"/>
                <w:szCs w:val="24"/>
                <w:highlight w:val="none"/>
                <w:lang w:val="en-US" w:eastAsia="zh-CN"/>
              </w:rPr>
              <w:t xml:space="preserve">地址</w:t>
            </w:r>
            <w:r>
              <w:rPr>
                <w:rStyle w:val="1093"/>
                <w:rFonts w:ascii="宋体"/>
                <w:sz w:val="24"/>
                <w:szCs w:val="24"/>
                <w:highlight w:val="none"/>
                <w:lang w:val="zh-CN"/>
              </w:rPr>
              <w:t xml:space="preserve">：</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lang w:val="zh-CN"/>
              </w:rPr>
            </w:pPr>
            <w:r>
              <w:rPr>
                <w:rStyle w:val="1093"/>
                <w:rFonts w:hint="eastAsia" w:ascii="宋体"/>
                <w:sz w:val="24"/>
                <w:szCs w:val="24"/>
                <w:highlight w:val="none"/>
                <w:lang w:val="en-US" w:eastAsia="zh-CN"/>
              </w:rPr>
              <w:t xml:space="preserve">地址</w:t>
            </w:r>
            <w:r>
              <w:rPr>
                <w:rStyle w:val="1093"/>
                <w:rFonts w:ascii="宋体"/>
                <w:sz w:val="24"/>
                <w:szCs w:val="24"/>
                <w:highlight w:val="none"/>
                <w:lang w:val="zh-CN"/>
              </w:rPr>
              <w:t xml:space="preserve">：</w:t>
            </w:r>
            <w:r/>
          </w:p>
        </w:tc>
      </w:tr>
      <w:tr>
        <w:trPr>
          <w:jc w:val="center"/>
          <w:trHeight w:val="937"/>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p>
          <w:p>
            <w:pPr>
              <w:jc w:val="both"/>
              <w:spacing w:line="240" w:lineRule="auto"/>
              <w:rPr>
                <w:rStyle w:val="1093"/>
                <w:rFonts w:ascii="宋体"/>
                <w:sz w:val="24"/>
                <w:szCs w:val="24"/>
                <w:highlight w:val="none"/>
              </w:rPr>
            </w:pPr>
            <w:r>
              <w:rPr>
                <w:rFonts w:hint="eastAsia" w:ascii="宋体" w:hAnsi="宋体" w:cs="宋体"/>
                <w:color w:val="auto"/>
                <w:sz w:val="24"/>
                <w:szCs w:val="24"/>
                <w:highlight w:val="none"/>
                <w:lang w:val="zh-CN"/>
              </w:rPr>
              <w:t xml:space="preserve">授权代表（签字）</w:t>
            </w:r>
            <w:r>
              <w:rPr>
                <w:rStyle w:val="1093"/>
                <w:rFonts w:ascii="宋体" w:hAnsi="宋体"/>
                <w:sz w:val="24"/>
                <w:szCs w:val="24"/>
                <w:highlight w:val="none"/>
                <w:lang w:val="zh-CN"/>
              </w:rPr>
              <w:t xml:space="preserve">：</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p>
          <w:p>
            <w:pPr>
              <w:jc w:val="both"/>
              <w:spacing w:line="240" w:lineRule="auto"/>
              <w:rPr>
                <w:rStyle w:val="1093"/>
                <w:rFonts w:ascii="宋体"/>
                <w:sz w:val="24"/>
                <w:szCs w:val="24"/>
                <w:highlight w:val="none"/>
              </w:rPr>
            </w:pPr>
            <w:r>
              <w:rPr>
                <w:rFonts w:hint="eastAsia" w:ascii="宋体" w:hAnsi="宋体" w:cs="宋体"/>
                <w:color w:val="auto"/>
                <w:sz w:val="24"/>
                <w:szCs w:val="24"/>
                <w:highlight w:val="none"/>
                <w:lang w:val="zh-CN"/>
              </w:rPr>
              <w:t xml:space="preserve">授权代表（签字）</w:t>
            </w:r>
            <w:r>
              <w:rPr>
                <w:rStyle w:val="1093"/>
                <w:rFonts w:ascii="宋体" w:hAnsi="宋体"/>
                <w:sz w:val="24"/>
                <w:szCs w:val="24"/>
                <w:highlight w:val="none"/>
                <w:lang w:val="zh-CN"/>
              </w:rPr>
              <w:t xml:space="preserve">：</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Fonts w:hint="eastAsia" w:ascii="宋体" w:hAnsi="宋体" w:cs="宋体"/>
                <w:color w:val="auto"/>
                <w:sz w:val="24"/>
                <w:szCs w:val="24"/>
                <w:highlight w:val="none"/>
                <w:lang w:val="zh-CN"/>
              </w:rPr>
              <w:t xml:space="preserve">联系人：  </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Fonts w:hint="eastAsia" w:ascii="宋体" w:hAnsi="宋体" w:cs="宋体"/>
                <w:color w:val="auto"/>
                <w:sz w:val="24"/>
                <w:szCs w:val="24"/>
                <w:highlight w:val="none"/>
                <w:lang w:val="zh-CN"/>
              </w:rPr>
              <w:t xml:space="preserve">联系人：  </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rPr>
            </w:pPr>
            <w:r>
              <w:rPr>
                <w:rStyle w:val="1093"/>
                <w:rFonts w:ascii="宋体" w:hAnsi="宋体"/>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rPr>
            </w:pPr>
            <w:r>
              <w:rPr>
                <w:rStyle w:val="1093"/>
                <w:rFonts w:ascii="宋体" w:hAnsi="宋体"/>
                <w:sz w:val="24"/>
                <w:szCs w:val="24"/>
                <w:highlight w:val="none"/>
                <w:lang w:val="zh-CN"/>
              </w:rPr>
              <w:t xml:space="preserve">电话：</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rPr>
            </w:pPr>
            <w:r>
              <w:rPr>
                <w:rStyle w:val="1093"/>
                <w:rFonts w:ascii="宋体" w:hAnsi="宋体"/>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rPr>
            </w:pPr>
            <w:r>
              <w:rPr>
                <w:rStyle w:val="1093"/>
                <w:rFonts w:ascii="宋体" w:hAnsi="宋体"/>
                <w:sz w:val="24"/>
                <w:szCs w:val="24"/>
                <w:highlight w:val="none"/>
                <w:lang w:val="zh-CN"/>
              </w:rPr>
              <w:t xml:space="preserve">开户银行：</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Fonts w:hint="eastAsia" w:ascii="宋体" w:hAnsi="宋体" w:cs="宋体"/>
                <w:color w:val="auto"/>
                <w:sz w:val="24"/>
                <w:szCs w:val="24"/>
                <w:highlight w:val="none"/>
              </w:rPr>
              <w:t xml:space="preserve">开户名称：</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Fonts w:hint="eastAsia" w:ascii="宋体" w:hAnsi="宋体" w:cs="宋体"/>
                <w:color w:val="auto"/>
                <w:sz w:val="24"/>
                <w:szCs w:val="24"/>
                <w:highlight w:val="none"/>
              </w:rPr>
              <w:t xml:space="preserve">开户名称：</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sz w:val="24"/>
                <w:szCs w:val="24"/>
                <w:highlight w:val="none"/>
              </w:rPr>
            </w:pPr>
            <w:r>
              <w:rPr>
                <w:rStyle w:val="1093"/>
                <w:rFonts w:ascii="宋体" w:hAnsi="宋体"/>
                <w:sz w:val="24"/>
                <w:szCs w:val="24"/>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Style w:val="1093"/>
                <w:rFonts w:ascii="宋体" w:hAnsi="宋体"/>
                <w:sz w:val="24"/>
                <w:szCs w:val="24"/>
                <w:highlight w:val="none"/>
                <w:lang w:val="zh-CN"/>
              </w:rPr>
              <w:t xml:space="preserve">账号：</w:t>
            </w:r>
            <w:r/>
          </w:p>
        </w:tc>
      </w:tr>
      <w:tr>
        <w:trPr>
          <w:jc w:val="center"/>
          <w:trHeight w:val="622"/>
        </w:trPr>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Style w:val="1093"/>
                <w:rFonts w:ascii="宋体"/>
                <w:sz w:val="24"/>
                <w:szCs w:val="24"/>
                <w:highlight w:val="none"/>
                <w:lang w:val="zh-CN"/>
              </w:rPr>
              <w:t xml:space="preserve">日期：</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年</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月</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日</w:t>
            </w:r>
            <w:r/>
          </w:p>
        </w:tc>
        <w:tc>
          <w:tcPr>
            <w:tcBorders>
              <w:top w:val="none" w:color="000000" w:sz="4" w:space="0"/>
              <w:left w:val="none" w:color="000000" w:sz="4" w:space="0"/>
              <w:bottom w:val="none" w:color="000000" w:sz="4" w:space="0"/>
              <w:right w:val="none" w:color="000000" w:sz="4" w:space="0"/>
            </w:tcBorders>
            <w:tcW w:w="4640" w:type="dxa"/>
            <w:vAlign w:val="center"/>
            <w:textDirection w:val="lrTb"/>
            <w:noWrap w:val="false"/>
          </w:tcPr>
          <w:p>
            <w:pPr>
              <w:jc w:val="both"/>
              <w:spacing w:line="240" w:lineRule="auto"/>
              <w:rPr>
                <w:rStyle w:val="1093"/>
                <w:rFonts w:ascii="宋体" w:hAnsi="宋体"/>
                <w:sz w:val="24"/>
                <w:szCs w:val="24"/>
                <w:highlight w:val="none"/>
                <w:lang w:val="zh-CN"/>
              </w:rPr>
            </w:pPr>
            <w:r>
              <w:rPr>
                <w:rStyle w:val="1093"/>
                <w:rFonts w:ascii="宋体"/>
                <w:sz w:val="24"/>
                <w:szCs w:val="24"/>
                <w:highlight w:val="none"/>
                <w:lang w:val="zh-CN"/>
              </w:rPr>
              <w:t xml:space="preserve">日期：</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年</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月</w:t>
            </w:r>
            <w:r>
              <w:rPr>
                <w:rStyle w:val="1093"/>
                <w:rFonts w:hint="eastAsia" w:ascii="宋体"/>
                <w:sz w:val="24"/>
                <w:szCs w:val="24"/>
                <w:highlight w:val="none"/>
                <w:lang w:val="en-US" w:eastAsia="zh-CN"/>
              </w:rPr>
              <w:t xml:space="preserve">    </w:t>
            </w:r>
            <w:r>
              <w:rPr>
                <w:rStyle w:val="1093"/>
                <w:rFonts w:ascii="宋体"/>
                <w:sz w:val="24"/>
                <w:szCs w:val="24"/>
                <w:highlight w:val="none"/>
                <w:lang w:val="zh-CN"/>
              </w:rPr>
              <w:t xml:space="preserve">日</w:t>
            </w:r>
            <w:r/>
          </w:p>
        </w:tc>
      </w:tr>
    </w:tbl>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jc w:val="left"/>
        <w:spacing w:line="560" w:lineRule="exact"/>
        <w:rPr>
          <w:rStyle w:val="1093"/>
          <w:rFonts w:ascii="宋体" w:hAnsi="宋体"/>
          <w:b/>
          <w:sz w:val="24"/>
          <w:szCs w:val="24"/>
          <w:highlight w:val="none"/>
        </w:rPr>
      </w:pPr>
      <w:r>
        <w:rPr>
          <w:rFonts w:ascii="宋体" w:hAnsi="宋体"/>
          <w:b/>
          <w:sz w:val="24"/>
          <w:szCs w:val="24"/>
          <w:highlight w:val="none"/>
        </w:rPr>
      </w:r>
      <w:r/>
    </w:p>
    <w:p>
      <w:pPr>
        <w:rPr>
          <w:rStyle w:val="1093"/>
          <w:sz w:val="20"/>
          <w:highlight w:val="none"/>
        </w:rPr>
      </w:pPr>
      <w:r>
        <w:rPr>
          <w:sz w:val="20"/>
          <w:highlight w:val="none"/>
        </w:rPr>
      </w:r>
      <w:r/>
    </w:p>
    <w:p>
      <w:pPr>
        <w:ind w:firstLine="200"/>
        <w:jc w:val="center"/>
        <w:spacing w:line="560" w:lineRule="exact"/>
        <w:rPr>
          <w:rStyle w:val="1093"/>
          <w:rFonts w:ascii="宋体" w:hAnsi="宋体"/>
          <w:b/>
          <w:sz w:val="24"/>
          <w:szCs w:val="24"/>
          <w:highlight w:val="none"/>
        </w:rPr>
      </w:pPr>
      <w:r>
        <w:rPr>
          <w:rStyle w:val="1093"/>
          <w:rFonts w:ascii="宋体" w:hAnsi="宋体"/>
          <w:b/>
          <w:sz w:val="24"/>
          <w:szCs w:val="24"/>
          <w:highlight w:val="none"/>
        </w:rPr>
        <w:t xml:space="preserve">第二部分 合同一般条款</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 定义</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本合同中的下列词语应按以下内容进行解释：</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2.1.1 “合同”系指采购人和</w:t>
      </w:r>
      <w:r>
        <w:rPr>
          <w:rStyle w:val="1093"/>
          <w:rFonts w:hint="eastAsia" w:ascii="宋体" w:hAnsi="宋体"/>
          <w:sz w:val="24"/>
          <w:szCs w:val="24"/>
          <w:highlight w:val="none"/>
          <w:lang w:val="en-US" w:eastAsia="zh-CN"/>
        </w:rPr>
        <w:t xml:space="preserve">中标</w:t>
      </w:r>
      <w:r>
        <w:rPr>
          <w:rStyle w:val="1093"/>
          <w:rFonts w:ascii="宋体" w:hAnsi="宋体"/>
          <w:sz w:val="24"/>
          <w:szCs w:val="24"/>
          <w:highlight w:val="none"/>
        </w:rPr>
        <w:t xml:space="preserve">供应商签订的载明双方当事人所达成的协议，并包括所有的附件、附录和构成合同的其他文件。</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2.1.2 “合同价”系指根据合同约定，</w:t>
      </w:r>
      <w:r>
        <w:rPr>
          <w:rStyle w:val="1093"/>
          <w:rFonts w:hint="eastAsia" w:ascii="宋体" w:hAnsi="宋体"/>
          <w:sz w:val="24"/>
          <w:szCs w:val="24"/>
          <w:highlight w:val="none"/>
          <w:lang w:val="en-US" w:eastAsia="zh-CN"/>
        </w:rPr>
        <w:t xml:space="preserve">中标</w:t>
      </w:r>
      <w:r>
        <w:rPr>
          <w:rStyle w:val="1093"/>
          <w:rFonts w:ascii="宋体" w:hAnsi="宋体"/>
          <w:sz w:val="24"/>
          <w:szCs w:val="24"/>
          <w:highlight w:val="none"/>
        </w:rPr>
        <w:t xml:space="preserve">供应商在完全履行合同义务后，采购人应支付给</w:t>
      </w:r>
      <w:r>
        <w:rPr>
          <w:rStyle w:val="1093"/>
          <w:rFonts w:hint="eastAsia" w:ascii="宋体" w:hAnsi="宋体"/>
          <w:sz w:val="24"/>
          <w:szCs w:val="24"/>
          <w:highlight w:val="none"/>
          <w:lang w:val="en-US" w:eastAsia="zh-CN"/>
        </w:rPr>
        <w:t xml:space="preserve">中标</w:t>
      </w:r>
      <w:r>
        <w:rPr>
          <w:rStyle w:val="1093"/>
          <w:rFonts w:ascii="宋体" w:hAnsi="宋体"/>
          <w:sz w:val="24"/>
          <w:szCs w:val="24"/>
          <w:highlight w:val="none"/>
        </w:rPr>
        <w:t xml:space="preserve">供应商的价格。</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2.1.3 </w:t>
      </w:r>
      <w:r>
        <w:rPr>
          <w:rFonts w:hint="eastAsia" w:ascii="宋体" w:hAnsi="宋体" w:cs="宋体"/>
          <w:color w:val="000000"/>
          <w:sz w:val="24"/>
          <w:highlight w:val="none"/>
        </w:rPr>
        <w:t xml:space="preserve">“货物”系指中标供应商根据合同约定应向采购人交付的一切各种形态和种类的物品，包括原材料、燃料、设备、机械、仪表、备件、计算机软件、产品等，并包括工具、手册等其他相关资料。</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2.1.4 “甲方”系指与</w:t>
      </w:r>
      <w:r>
        <w:rPr>
          <w:rStyle w:val="1093"/>
          <w:rFonts w:hint="eastAsia" w:ascii="宋体" w:hAnsi="宋体"/>
          <w:sz w:val="24"/>
          <w:szCs w:val="24"/>
          <w:highlight w:val="none"/>
          <w:lang w:eastAsia="zh-CN"/>
        </w:rPr>
        <w:t xml:space="preserve">中标</w:t>
      </w:r>
      <w:r>
        <w:rPr>
          <w:rStyle w:val="1093"/>
          <w:rFonts w:ascii="宋体" w:hAnsi="宋体"/>
          <w:sz w:val="24"/>
          <w:szCs w:val="24"/>
          <w:highlight w:val="none"/>
        </w:rPr>
        <w:t xml:space="preserve">供应商签署合同的采购人；采购人委托采购代理机构代表其与乙方签订合同的，采购人的授权委托书作为合同附件。</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2.1.5 “乙方”系指根据合同约定提供服务的</w:t>
      </w:r>
      <w:r>
        <w:rPr>
          <w:rStyle w:val="1093"/>
          <w:rFonts w:hint="eastAsia" w:ascii="宋体" w:hAnsi="宋体"/>
          <w:sz w:val="24"/>
          <w:szCs w:val="24"/>
          <w:highlight w:val="none"/>
          <w:lang w:eastAsia="zh-CN"/>
        </w:rPr>
        <w:t xml:space="preserve">中标</w:t>
      </w:r>
      <w:r>
        <w:rPr>
          <w:rStyle w:val="1093"/>
          <w:rFonts w:ascii="宋体" w:hAnsi="宋体"/>
          <w:sz w:val="24"/>
          <w:szCs w:val="24"/>
          <w:highlight w:val="none"/>
        </w:rPr>
        <w:t xml:space="preserve">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2.1.6 “现场”系指合同约定提供服务的地点。</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2.2 技术规范</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2.3 知识产权</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2.3.2 技术成果归属甲方。</w:t>
      </w:r>
      <w:r/>
    </w:p>
    <w:p>
      <w:pPr>
        <w:ind w:firstLine="482"/>
        <w:spacing w:line="560" w:lineRule="exact"/>
        <w:rPr>
          <w:rFonts w:ascii="宋体" w:hAnsi="宋体" w:cs="宋体"/>
          <w:b/>
          <w:color w:val="auto"/>
          <w:sz w:val="24"/>
          <w:highlight w:val="none"/>
        </w:rPr>
      </w:pPr>
      <w:r/>
      <w:bookmarkStart w:id="102" w:name="_Toc29149"/>
      <w:r/>
      <w:bookmarkStart w:id="103" w:name="_Toc4194"/>
      <w:r/>
      <w:bookmarkStart w:id="104" w:name="_Toc11932"/>
      <w:r>
        <w:rPr>
          <w:rFonts w:hint="eastAsia" w:ascii="宋体" w:hAnsi="宋体" w:cs="宋体"/>
          <w:b/>
          <w:color w:val="auto"/>
          <w:sz w:val="24"/>
          <w:highlight w:val="none"/>
        </w:rPr>
        <w:t xml:space="preserve">2.4 包装和装运</w:t>
      </w:r>
      <w:bookmarkEnd w:id="102"/>
      <w:r/>
      <w:bookmarkEnd w:id="103"/>
      <w:r/>
      <w:bookmarkEnd w:id="10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Style w:val="1093"/>
          <w:rFonts w:ascii="宋体" w:hAnsi="宋体"/>
          <w:sz w:val="24"/>
          <w:szCs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5</w:t>
      </w:r>
      <w:r>
        <w:rPr>
          <w:rStyle w:val="1093"/>
          <w:rFonts w:ascii="宋体" w:hAnsi="宋体"/>
          <w:b/>
          <w:sz w:val="24"/>
          <w:szCs w:val="24"/>
          <w:highlight w:val="none"/>
        </w:rPr>
        <w:t xml:space="preserve"> 履约检查和问题反馈</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5</w:t>
      </w:r>
      <w:r>
        <w:rPr>
          <w:rStyle w:val="1093"/>
          <w:rFonts w:ascii="宋体" w:hAnsi="宋体"/>
          <w:sz w:val="24"/>
          <w:szCs w:val="24"/>
          <w:highlight w:val="none"/>
        </w:rPr>
        <w:t xml:space="preserve">.1甲方有权在其认为必要时，对乙方是否能够按照合同约定提供服务进行履约检查，以确保乙方所提供的服务能够依约满足甲方之项目需求，但不得因履约检查妨碍乙方的正常工作，乙方应予积极配合；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5</w:t>
      </w:r>
      <w:r>
        <w:rPr>
          <w:rStyle w:val="1093"/>
          <w:rFonts w:ascii="宋体" w:hAnsi="宋体"/>
          <w:sz w:val="24"/>
          <w:szCs w:val="24"/>
          <w:highlight w:val="none"/>
        </w:rPr>
        <w:t xml:space="preserve">.2 合同履行期间，甲方有权将履行过程中出现的问题反馈给乙方，双方当事人应以书面形式约定需要完善和改进的内容。</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6</w:t>
      </w:r>
      <w:r>
        <w:rPr>
          <w:rStyle w:val="1093"/>
          <w:rFonts w:ascii="宋体" w:hAnsi="宋体"/>
          <w:b/>
          <w:sz w:val="24"/>
          <w:szCs w:val="24"/>
          <w:highlight w:val="none"/>
        </w:rPr>
        <w:t xml:space="preserve"> 技术资料和保密义务</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6</w:t>
      </w:r>
      <w:r>
        <w:rPr>
          <w:rStyle w:val="1093"/>
          <w:rFonts w:ascii="宋体" w:hAnsi="宋体"/>
          <w:sz w:val="24"/>
          <w:szCs w:val="24"/>
          <w:highlight w:val="none"/>
        </w:rPr>
        <w:t xml:space="preserve">.1 乙方有权依据合同约定和项目需要，向甲方了解有关情况，调阅有关资料等，甲方应予积极配合；</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6</w:t>
      </w:r>
      <w:r>
        <w:rPr>
          <w:rStyle w:val="1093"/>
          <w:rFonts w:ascii="宋体" w:hAnsi="宋体"/>
          <w:sz w:val="24"/>
          <w:szCs w:val="24"/>
          <w:highlight w:val="none"/>
        </w:rPr>
        <w:t xml:space="preserve">.2 乙方有义务妥善保管和保护由甲方提供的前款信息和资料等；</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6</w:t>
      </w:r>
      <w:r>
        <w:rPr>
          <w:rStyle w:val="1093"/>
          <w:rFonts w:ascii="宋体" w:hAnsi="宋体"/>
          <w:sz w:val="24"/>
          <w:szCs w:val="24"/>
          <w:highlight w:val="none"/>
        </w:rPr>
        <w:t xml:space="preserve">.3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7</w:t>
      </w:r>
      <w:r>
        <w:rPr>
          <w:rStyle w:val="1093"/>
          <w:rFonts w:ascii="宋体" w:hAnsi="宋体"/>
          <w:b/>
          <w:sz w:val="24"/>
          <w:szCs w:val="24"/>
          <w:highlight w:val="none"/>
        </w:rPr>
        <w:t xml:space="preserve"> 质量保证</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7</w:t>
      </w:r>
      <w:r>
        <w:rPr>
          <w:rStyle w:val="1093"/>
          <w:rFonts w:ascii="宋体" w:hAnsi="宋体"/>
          <w:sz w:val="24"/>
          <w:szCs w:val="24"/>
          <w:highlight w:val="none"/>
        </w:rPr>
        <w:t xml:space="preserve">.1 乙方应建立和完善履行合同的内部质量保证体系，并提供相关内部规章制度给甲方，以便甲方进行监督检查；</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7</w:t>
      </w:r>
      <w:r>
        <w:rPr>
          <w:rStyle w:val="1093"/>
          <w:rFonts w:ascii="宋体" w:hAnsi="宋体"/>
          <w:sz w:val="24"/>
          <w:szCs w:val="24"/>
          <w:highlight w:val="none"/>
        </w:rPr>
        <w:t xml:space="preserve">.2 乙方应保证履行合同的人员数量和素质、软件和硬件设备的配置、场地、环境和设施等满足全面履行合同的要求，并应接受甲方的监督检查。</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8</w:t>
      </w:r>
      <w:r>
        <w:rPr>
          <w:rStyle w:val="1093"/>
          <w:rFonts w:ascii="宋体" w:hAnsi="宋体"/>
          <w:b/>
          <w:sz w:val="24"/>
          <w:szCs w:val="24"/>
          <w:highlight w:val="none"/>
        </w:rPr>
        <w:t xml:space="preserve"> 延迟履行</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9</w:t>
      </w:r>
      <w:r>
        <w:rPr>
          <w:rStyle w:val="1093"/>
          <w:rFonts w:ascii="宋体" w:hAnsi="宋体"/>
          <w:b/>
          <w:sz w:val="24"/>
          <w:szCs w:val="24"/>
          <w:highlight w:val="none"/>
        </w:rPr>
        <w:t xml:space="preserve"> 合同变更</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9</w:t>
      </w:r>
      <w:r>
        <w:rPr>
          <w:rStyle w:val="1093"/>
          <w:rFonts w:ascii="宋体" w:hAnsi="宋体"/>
          <w:sz w:val="24"/>
          <w:szCs w:val="24"/>
          <w:highlight w:val="none"/>
        </w:rPr>
        <w:t xml:space="preserve">.1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w:t>
      </w:r>
      <w:r>
        <w:rPr>
          <w:rStyle w:val="1093"/>
          <w:rFonts w:hint="eastAsia" w:ascii="宋体" w:hAnsi="宋体"/>
          <w:sz w:val="24"/>
          <w:szCs w:val="24"/>
          <w:highlight w:val="none"/>
          <w:lang w:val="en-US" w:eastAsia="zh-CN"/>
        </w:rPr>
        <w:t xml:space="preserve">9</w:t>
      </w:r>
      <w:r>
        <w:rPr>
          <w:rStyle w:val="1093"/>
          <w:rFonts w:ascii="宋体" w:hAnsi="宋体"/>
          <w:sz w:val="24"/>
          <w:szCs w:val="24"/>
          <w:highlight w:val="none"/>
        </w:rPr>
        <w:t xml:space="preserve">.2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w:t>
      </w:r>
      <w:r>
        <w:rPr>
          <w:rStyle w:val="1093"/>
          <w:rFonts w:hint="eastAsia" w:ascii="宋体" w:hAnsi="宋体"/>
          <w:b/>
          <w:sz w:val="24"/>
          <w:szCs w:val="24"/>
          <w:highlight w:val="none"/>
          <w:lang w:val="en-US" w:eastAsia="zh-CN"/>
        </w:rPr>
        <w:t xml:space="preserve">10</w:t>
      </w:r>
      <w:r>
        <w:rPr>
          <w:rStyle w:val="1093"/>
          <w:rFonts w:ascii="宋体" w:hAnsi="宋体"/>
          <w:b/>
          <w:sz w:val="24"/>
          <w:szCs w:val="24"/>
          <w:highlight w:val="none"/>
        </w:rPr>
        <w:t xml:space="preserve"> 合同转让和分包</w:t>
      </w:r>
      <w:r/>
    </w:p>
    <w:p>
      <w:pPr>
        <w:ind w:firstLine="480"/>
        <w:spacing w:line="560" w:lineRule="exact"/>
        <w:rPr>
          <w:rStyle w:val="1093"/>
          <w:rFonts w:ascii="宋体" w:hAnsi="宋体"/>
          <w:sz w:val="24"/>
          <w:szCs w:val="24"/>
          <w:highlight w:val="none"/>
        </w:rPr>
      </w:pPr>
      <w:r>
        <w:rPr>
          <w:rStyle w:val="1093"/>
          <w:rFonts w:ascii="宋体" w:hAnsi="宋体"/>
          <w:sz w:val="24"/>
          <w:highlight w:val="none"/>
        </w:rPr>
        <w:t xml:space="preserve">合同的权利义务依法不得转让，如</w:t>
      </w:r>
      <w:r>
        <w:rPr>
          <w:rStyle w:val="1093"/>
          <w:rFonts w:hint="eastAsia" w:ascii="宋体" w:hAnsi="宋体"/>
          <w:sz w:val="24"/>
          <w:highlight w:val="none"/>
          <w:lang w:val="en-US" w:eastAsia="zh-CN"/>
        </w:rPr>
        <w:t xml:space="preserve">招标文件</w:t>
      </w:r>
      <w:r>
        <w:rPr>
          <w:rStyle w:val="1093"/>
          <w:rFonts w:ascii="宋体" w:hAnsi="宋体"/>
          <w:sz w:val="24"/>
          <w:highlight w:val="none"/>
        </w:rPr>
        <w:t xml:space="preserve">“第一章 </w:t>
      </w:r>
      <w:r>
        <w:rPr>
          <w:rFonts w:hint="eastAsia" w:ascii="宋体" w:hAnsi="宋体" w:cs="宋体"/>
          <w:color w:val="auto"/>
          <w:sz w:val="24"/>
          <w:highlight w:val="none"/>
        </w:rPr>
        <w:t xml:space="preserve">投标邀请函</w:t>
      </w:r>
      <w:r>
        <w:rPr>
          <w:rStyle w:val="1093"/>
          <w:rFonts w:ascii="宋体" w:hAnsi="宋体"/>
          <w:sz w:val="24"/>
          <w:highlight w:val="none"/>
        </w:rPr>
        <w:t xml:space="preserve">”中甲方接受</w:t>
      </w:r>
      <w:r>
        <w:rPr>
          <w:rStyle w:val="1093"/>
          <w:rFonts w:hint="eastAsia" w:ascii="宋体" w:hAnsi="宋体"/>
          <w:sz w:val="24"/>
          <w:highlight w:val="none"/>
          <w:lang w:eastAsia="zh-CN"/>
        </w:rPr>
        <w:t xml:space="preserve">中标</w:t>
      </w:r>
      <w:r>
        <w:rPr>
          <w:rStyle w:val="1093"/>
          <w:rFonts w:ascii="宋体" w:hAnsi="宋体"/>
          <w:sz w:val="24"/>
          <w:highlight w:val="none"/>
        </w:rPr>
        <w:t xml:space="preserve">后分包，</w:t>
      </w:r>
      <w:r>
        <w:rPr>
          <w:rStyle w:val="1093"/>
          <w:rFonts w:ascii="宋体" w:hAnsi="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1</w:t>
      </w:r>
      <w:r>
        <w:rPr>
          <w:rStyle w:val="1093"/>
          <w:rFonts w:ascii="宋体" w:hAnsi="宋体"/>
          <w:b/>
          <w:sz w:val="24"/>
          <w:szCs w:val="24"/>
          <w:highlight w:val="none"/>
        </w:rPr>
        <w:t xml:space="preserve"> 不可抗力</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1</w:t>
      </w:r>
      <w:r>
        <w:rPr>
          <w:rStyle w:val="1093"/>
          <w:rFonts w:ascii="宋体" w:hAnsi="宋体"/>
          <w:sz w:val="24"/>
          <w:szCs w:val="24"/>
          <w:highlight w:val="none"/>
        </w:rPr>
        <w:t xml:space="preserve">.1如果任何一方遭遇法律规定的不可抗力，致使合同履行受阻时，履行合同的期限应予延长，延长的期限应相当于不可抗力所影响的时间；</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1</w:t>
      </w:r>
      <w:r>
        <w:rPr>
          <w:rStyle w:val="1093"/>
          <w:rFonts w:ascii="宋体" w:hAnsi="宋体"/>
          <w:sz w:val="24"/>
          <w:szCs w:val="24"/>
          <w:highlight w:val="none"/>
        </w:rPr>
        <w:t xml:space="preserve">.2 因不可抗力致使不能实现合同目的的，当事人可以解除合同；</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1</w:t>
      </w:r>
      <w:r>
        <w:rPr>
          <w:rStyle w:val="1093"/>
          <w:rFonts w:ascii="宋体" w:hAnsi="宋体"/>
          <w:sz w:val="24"/>
          <w:szCs w:val="24"/>
          <w:highlight w:val="none"/>
        </w:rPr>
        <w:t xml:space="preserve">.3 因不可抗力致使合同有变更必要的，</w:t>
      </w:r>
      <w:r>
        <w:rPr>
          <w:rStyle w:val="1093"/>
          <w:rFonts w:ascii="宋体" w:hAnsi="宋体"/>
          <w:sz w:val="24"/>
          <w:highlight w:val="none"/>
        </w:rPr>
        <w:t xml:space="preserve">双方当事人应在约定时间内以书面形式变更合同</w:t>
      </w:r>
      <w:r>
        <w:rPr>
          <w:rStyle w:val="1093"/>
          <w:rFonts w:ascii="宋体" w:hAnsi="宋体"/>
          <w:sz w:val="24"/>
          <w:szCs w:val="24"/>
          <w:highlight w:val="none"/>
        </w:rPr>
        <w:t xml:space="preserve">；</w:t>
      </w:r>
      <w:r/>
    </w:p>
    <w:p>
      <w:pPr>
        <w:ind w:firstLine="480"/>
        <w:spacing w:line="560" w:lineRule="exact"/>
        <w:rPr>
          <w:rStyle w:val="1093"/>
          <w:rFonts w:ascii="宋体" w:hAnsi="宋体" w:cs="Calibri"/>
          <w:bCs/>
          <w:sz w:val="24"/>
          <w:highlight w:val="none"/>
          <w:lang w:val="zh-CN"/>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1</w:t>
      </w:r>
      <w:r>
        <w:rPr>
          <w:rStyle w:val="1093"/>
          <w:rFonts w:ascii="宋体" w:hAnsi="宋体"/>
          <w:sz w:val="24"/>
          <w:szCs w:val="24"/>
          <w:highlight w:val="none"/>
        </w:rPr>
        <w:t xml:space="preserve">.4 </w:t>
      </w:r>
      <w:r>
        <w:rPr>
          <w:rStyle w:val="1093"/>
          <w:rFonts w:ascii="宋体" w:hAnsi="宋体" w:cs="Calibri"/>
          <w:bCs/>
          <w:sz w:val="24"/>
          <w:highlight w:val="none"/>
          <w:lang w:val="zh-CN"/>
        </w:rPr>
        <w:t xml:space="preserve">如遭遇不可抗力事件，遭遇不可抗力的一方应尽快以书面形式将不可抗力的情况和原因通知另一方，并</w:t>
      </w:r>
      <w:r>
        <w:rPr>
          <w:rStyle w:val="1093"/>
          <w:rFonts w:ascii="宋体" w:hAnsi="宋体"/>
          <w:sz w:val="24"/>
          <w:highlight w:val="none"/>
        </w:rPr>
        <w:t xml:space="preserve">将有关部门出具的证明文件送达对方当事人，</w:t>
      </w:r>
      <w:r>
        <w:rPr>
          <w:rStyle w:val="1093"/>
          <w:rFonts w:ascii="宋体" w:hAnsi="宋体" w:cs="Calibri"/>
          <w:bCs/>
          <w:sz w:val="24"/>
          <w:highlight w:val="none"/>
          <w:lang w:val="zh-CN"/>
        </w:rPr>
        <w:t xml:space="preserve">积极采取措施防止损失扩大。因不可抗力造成的损失，甲乙双方按照法律规定处理；</w:t>
      </w:r>
      <w:r/>
    </w:p>
    <w:p>
      <w:pPr>
        <w:ind w:firstLine="480"/>
        <w:spacing w:line="560" w:lineRule="exact"/>
        <w:rPr>
          <w:rStyle w:val="1093"/>
          <w:rFonts w:ascii="宋体" w:hAnsi="宋体"/>
          <w:sz w:val="24"/>
          <w:szCs w:val="24"/>
          <w:highlight w:val="none"/>
        </w:rPr>
      </w:pPr>
      <w:r>
        <w:rPr>
          <w:rStyle w:val="1093"/>
          <w:rFonts w:ascii="宋体" w:hAnsi="宋体"/>
          <w:sz w:val="24"/>
          <w:highlight w:val="none"/>
        </w:rPr>
        <w:t xml:space="preserve">2.1</w:t>
      </w:r>
      <w:r>
        <w:rPr>
          <w:rStyle w:val="1093"/>
          <w:rFonts w:hint="eastAsia" w:ascii="宋体" w:hAnsi="宋体"/>
          <w:sz w:val="24"/>
          <w:highlight w:val="none"/>
          <w:lang w:val="en-US" w:eastAsia="zh-CN"/>
        </w:rPr>
        <w:t xml:space="preserve">1</w:t>
      </w:r>
      <w:r>
        <w:rPr>
          <w:rStyle w:val="1093"/>
          <w:rFonts w:ascii="宋体" w:hAnsi="宋体"/>
          <w:sz w:val="24"/>
          <w:highlight w:val="none"/>
        </w:rPr>
        <w:t xml:space="preserve">.5 </w:t>
      </w:r>
      <w:r>
        <w:rPr>
          <w:rStyle w:val="1093"/>
          <w:rFonts w:ascii="宋体" w:hAnsi="宋体" w:cs="Calibri"/>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2</w:t>
      </w:r>
      <w:r>
        <w:rPr>
          <w:rStyle w:val="1093"/>
          <w:rFonts w:ascii="宋体" w:hAnsi="宋体"/>
          <w:b/>
          <w:sz w:val="24"/>
          <w:szCs w:val="24"/>
          <w:highlight w:val="none"/>
        </w:rPr>
        <w:t xml:space="preserve"> 税费</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与合同有关的一切税费，均按照中华人民共和国法律的相关规定缴纳。</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3</w:t>
      </w:r>
      <w:r>
        <w:rPr>
          <w:rStyle w:val="1093"/>
          <w:rFonts w:ascii="宋体" w:hAnsi="宋体"/>
          <w:b/>
          <w:sz w:val="24"/>
          <w:szCs w:val="24"/>
          <w:highlight w:val="none"/>
        </w:rPr>
        <w:t xml:space="preserve"> 乙方破产</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4</w:t>
      </w:r>
      <w:r>
        <w:rPr>
          <w:rStyle w:val="1093"/>
          <w:rFonts w:ascii="宋体" w:hAnsi="宋体"/>
          <w:b/>
          <w:sz w:val="24"/>
          <w:szCs w:val="24"/>
          <w:highlight w:val="none"/>
        </w:rPr>
        <w:t xml:space="preserve"> 合同中止、终止</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4</w:t>
      </w:r>
      <w:r>
        <w:rPr>
          <w:rStyle w:val="1093"/>
          <w:rFonts w:ascii="宋体" w:hAnsi="宋体"/>
          <w:sz w:val="24"/>
          <w:szCs w:val="24"/>
          <w:highlight w:val="none"/>
        </w:rPr>
        <w:t xml:space="preserve">.1 双方当事人不得擅自中止或者终止合同；</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4</w:t>
      </w:r>
      <w:r>
        <w:rPr>
          <w:rStyle w:val="1093"/>
          <w:rFonts w:ascii="宋体" w:hAnsi="宋体"/>
          <w:sz w:val="24"/>
          <w:szCs w:val="24"/>
          <w:highlight w:val="none"/>
        </w:rPr>
        <w:t xml:space="preserve">.2合同继续履行将损害国家利益和社会公共利益的，双方当事人应当中止或者终止合同。有过错的一方应当承担赔偿责任，双方当事人都有过错的，各自承担相应的责任。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5</w:t>
      </w:r>
      <w:r>
        <w:rPr>
          <w:rStyle w:val="1093"/>
          <w:rFonts w:ascii="宋体" w:hAnsi="宋体"/>
          <w:b/>
          <w:sz w:val="24"/>
          <w:szCs w:val="24"/>
          <w:highlight w:val="none"/>
        </w:rPr>
        <w:t xml:space="preserve"> 检验和验收</w:t>
      </w:r>
      <w:r/>
    </w:p>
    <w:p>
      <w:pPr>
        <w:ind w:firstLine="480"/>
        <w:spacing w:line="560" w:lineRule="exact"/>
        <w:tabs>
          <w:tab w:val="left" w:pos="360" w:leader="none"/>
          <w:tab w:val="left" w:pos="540" w:leader="none"/>
          <w:tab w:val="left" w:pos="1080" w:leader="none"/>
        </w:tabs>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5</w:t>
      </w:r>
      <w:r>
        <w:rPr>
          <w:rStyle w:val="1093"/>
          <w:rFonts w:ascii="宋体" w:hAnsi="宋体"/>
          <w:sz w:val="24"/>
          <w:szCs w:val="24"/>
          <w:highlight w:val="none"/>
        </w:rPr>
        <w:t xml:space="preserve">.1 乙方按照约定，定期提交服务报告，甲方定期进行验收；</w:t>
      </w:r>
      <w:r/>
    </w:p>
    <w:p>
      <w:pPr>
        <w:ind w:firstLine="480"/>
        <w:spacing w:line="560" w:lineRule="exact"/>
        <w:tabs>
          <w:tab w:val="left" w:pos="360" w:leader="none"/>
          <w:tab w:val="left" w:pos="540" w:leader="none"/>
          <w:tab w:val="left" w:pos="1080" w:leader="none"/>
        </w:tabs>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5</w:t>
      </w:r>
      <w:r>
        <w:rPr>
          <w:rStyle w:val="1093"/>
          <w:rFonts w:ascii="宋体" w:hAnsi="宋体"/>
          <w:sz w:val="24"/>
          <w:szCs w:val="24"/>
          <w:highlight w:val="none"/>
        </w:rPr>
        <w:t xml:space="preserve">.2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6</w:t>
      </w:r>
      <w:r>
        <w:rPr>
          <w:rStyle w:val="1093"/>
          <w:rFonts w:ascii="宋体" w:hAnsi="宋体"/>
          <w:b/>
          <w:sz w:val="24"/>
          <w:szCs w:val="24"/>
          <w:highlight w:val="none"/>
        </w:rPr>
        <w:t xml:space="preserve"> 通知和送达</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6</w:t>
      </w:r>
      <w:r>
        <w:rPr>
          <w:rStyle w:val="1093"/>
          <w:rFonts w:ascii="宋体" w:hAnsi="宋体"/>
          <w:sz w:val="24"/>
          <w:szCs w:val="24"/>
          <w:highlight w:val="none"/>
        </w:rPr>
        <w:t xml:space="preserve">.1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6</w:t>
      </w:r>
      <w:r>
        <w:rPr>
          <w:rStyle w:val="1093"/>
          <w:rFonts w:ascii="宋体" w:hAnsi="宋体"/>
          <w:sz w:val="24"/>
          <w:szCs w:val="24"/>
          <w:highlight w:val="none"/>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2"/>
        <w:spacing w:line="560" w:lineRule="exact"/>
        <w:rPr>
          <w:rFonts w:ascii="宋体" w:hAnsi="宋体" w:cs="宋体"/>
          <w:b/>
          <w:color w:val="auto"/>
          <w:sz w:val="24"/>
          <w:highlight w:val="none"/>
        </w:rPr>
      </w:pPr>
      <w:r/>
      <w:bookmarkStart w:id="105" w:name="_Toc18540"/>
      <w:r/>
      <w:bookmarkStart w:id="106" w:name="_Toc4355"/>
      <w:r/>
      <w:bookmarkStart w:id="107" w:name="_Toc30599"/>
      <w:r>
        <w:rPr>
          <w:rFonts w:hint="eastAsia" w:ascii="宋体" w:hAnsi="宋体" w:cs="宋体"/>
          <w:b/>
          <w:color w:val="auto"/>
          <w:sz w:val="24"/>
          <w:highlight w:val="none"/>
        </w:rPr>
        <w:t xml:space="preserve">2.17 计量单位</w:t>
      </w:r>
      <w:bookmarkEnd w:id="105"/>
      <w:r/>
      <w:bookmarkEnd w:id="106"/>
      <w:r/>
      <w:bookmarkEnd w:id="107"/>
      <w:r/>
      <w:r/>
    </w:p>
    <w:p>
      <w:pPr>
        <w:ind w:firstLine="480"/>
        <w:spacing w:line="560" w:lineRule="exact"/>
        <w:rPr>
          <w:rStyle w:val="1093"/>
          <w:rFonts w:ascii="宋体" w:hAnsi="宋体"/>
          <w:sz w:val="24"/>
          <w:szCs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Style w:val="1093"/>
          <w:rFonts w:ascii="宋体" w:hAnsi="宋体"/>
          <w:b/>
          <w:sz w:val="24"/>
          <w:szCs w:val="24"/>
          <w:highlight w:val="none"/>
        </w:rPr>
      </w:pPr>
      <w:r>
        <w:rPr>
          <w:rStyle w:val="1093"/>
          <w:rFonts w:ascii="宋体" w:hAnsi="宋体"/>
          <w:b/>
          <w:sz w:val="24"/>
          <w:szCs w:val="24"/>
          <w:highlight w:val="none"/>
        </w:rPr>
        <w:t xml:space="preserve">2.1</w:t>
      </w:r>
      <w:r>
        <w:rPr>
          <w:rStyle w:val="1093"/>
          <w:rFonts w:hint="eastAsia" w:ascii="宋体" w:hAnsi="宋体"/>
          <w:b/>
          <w:sz w:val="24"/>
          <w:szCs w:val="24"/>
          <w:highlight w:val="none"/>
          <w:lang w:val="en-US" w:eastAsia="zh-CN"/>
        </w:rPr>
        <w:t xml:space="preserve">8</w:t>
      </w:r>
      <w:r>
        <w:rPr>
          <w:rStyle w:val="1093"/>
          <w:rFonts w:ascii="宋体" w:hAnsi="宋体"/>
          <w:b/>
          <w:sz w:val="24"/>
          <w:szCs w:val="24"/>
          <w:highlight w:val="none"/>
        </w:rPr>
        <w:t xml:space="preserve"> 合同使用的文字和适用的法律</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8</w:t>
      </w:r>
      <w:r>
        <w:rPr>
          <w:rStyle w:val="1093"/>
          <w:rFonts w:ascii="宋体" w:hAnsi="宋体"/>
          <w:sz w:val="24"/>
          <w:szCs w:val="24"/>
          <w:highlight w:val="none"/>
        </w:rPr>
        <w:t xml:space="preserve">.1 合同使用汉语书就、变更和解释；</w:t>
      </w:r>
      <w:r/>
    </w:p>
    <w:p>
      <w:pPr>
        <w:ind w:firstLine="480"/>
        <w:spacing w:line="560" w:lineRule="exact"/>
        <w:rPr>
          <w:rStyle w:val="1093"/>
          <w:rFonts w:ascii="宋体" w:hAnsi="宋体"/>
          <w:sz w:val="24"/>
          <w:szCs w:val="24"/>
          <w:highlight w:val="none"/>
        </w:rPr>
      </w:pPr>
      <w:r>
        <w:rPr>
          <w:rStyle w:val="1093"/>
          <w:rFonts w:ascii="宋体" w:hAnsi="宋体"/>
          <w:sz w:val="24"/>
          <w:szCs w:val="24"/>
          <w:highlight w:val="none"/>
        </w:rPr>
        <w:t xml:space="preserve">2.1</w:t>
      </w:r>
      <w:r>
        <w:rPr>
          <w:rStyle w:val="1093"/>
          <w:rFonts w:hint="eastAsia" w:ascii="宋体" w:hAnsi="宋体"/>
          <w:sz w:val="24"/>
          <w:szCs w:val="24"/>
          <w:highlight w:val="none"/>
          <w:lang w:val="en-US" w:eastAsia="zh-CN"/>
        </w:rPr>
        <w:t xml:space="preserve">8</w:t>
      </w:r>
      <w:r>
        <w:rPr>
          <w:rStyle w:val="1093"/>
          <w:rFonts w:ascii="宋体" w:hAnsi="宋体"/>
          <w:sz w:val="24"/>
          <w:szCs w:val="24"/>
          <w:highlight w:val="none"/>
        </w:rPr>
        <w:t xml:space="preserve">.2 合同适用中华人民共和国法律。</w:t>
      </w:r>
      <w:r/>
    </w:p>
    <w:p>
      <w:pPr>
        <w:jc w:val="center"/>
        <w:spacing w:before="100" w:beforeAutospacing="1" w:after="100" w:afterAutospacing="1" w:line="440" w:lineRule="atLeast"/>
        <w:widowControl/>
        <w:rPr>
          <w:rFonts w:ascii="宋体" w:hAnsi="宋体" w:cs="宋体"/>
          <w:sz w:val="28"/>
          <w:szCs w:val="28"/>
          <w:highlight w:val="none"/>
          <w:u w:val="single"/>
        </w:rPr>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sz w:val="28"/>
          <w:szCs w:val="28"/>
          <w:highlight w:val="none"/>
          <w:u w:val="single"/>
        </w:rPr>
      </w:r>
      <w:r/>
    </w:p>
    <w:p>
      <w:pPr>
        <w:pStyle w:val="1049"/>
        <w:spacing w:line="360" w:lineRule="auto"/>
        <w:rPr>
          <w:rFonts w:hint="eastAsia"/>
          <w:highlight w:val="none"/>
        </w:rPr>
      </w:pPr>
      <w:r/>
      <w:bookmarkStart w:id="108" w:name="_Toc25903"/>
      <w:r>
        <w:rPr>
          <w:rFonts w:hint="eastAsia"/>
          <w:highlight w:val="none"/>
        </w:rPr>
        <w:t xml:space="preserve">第六章 附件（投标文件格式）</w:t>
      </w:r>
      <w:bookmarkEnd w:id="98"/>
      <w:r/>
      <w:bookmarkEnd w:id="108"/>
      <w:r/>
      <w:r/>
    </w:p>
    <w:p>
      <w:pPr>
        <w:pStyle w:val="1053"/>
        <w:rPr>
          <w:rFonts w:hint="eastAsia"/>
          <w:highlight w:val="none"/>
        </w:rPr>
      </w:pPr>
      <w:r>
        <w:rPr>
          <w:rFonts w:hint="eastAsia"/>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rFonts w:hint="eastAsia"/>
          <w:highlight w:val="none"/>
        </w:rPr>
      </w:pPr>
      <w:r>
        <w:rPr>
          <w:rFonts w:hint="eastAsia"/>
          <w:highlight w:val="none"/>
        </w:rPr>
      </w:r>
      <w:r/>
    </w:p>
    <w:p>
      <w:pPr>
        <w:pStyle w:val="1053"/>
        <w:rPr>
          <w:highlight w:val="none"/>
        </w:rPr>
      </w:pPr>
      <w:r>
        <w:rPr>
          <w:highlight w:val="none"/>
        </w:rPr>
      </w:r>
      <w:r/>
    </w:p>
    <w:p>
      <w:pPr>
        <w:jc w:val="center"/>
        <w:rPr>
          <w:rFonts w:hint="eastAsia" w:ascii="宋体" w:hAnsi="宋体" w:cs="宋体"/>
          <w:b/>
          <w:sz w:val="120"/>
          <w:szCs w:val="120"/>
          <w:highlight w:val="none"/>
        </w:rPr>
      </w:pPr>
      <w:r/>
      <w:bookmarkStart w:id="109" w:name="_Toc29240"/>
      <w:r>
        <w:rPr>
          <w:rFonts w:hint="eastAsia" w:ascii="宋体" w:hAnsi="宋体" w:cs="宋体"/>
          <w:b/>
          <w:sz w:val="120"/>
          <w:szCs w:val="120"/>
          <w:highlight w:val="none"/>
        </w:rPr>
        <w:t xml:space="preserve">投标文件</w:t>
      </w:r>
      <w:bookmarkEnd w:id="109"/>
      <w:r/>
      <w:r/>
    </w:p>
    <w:p>
      <w:pPr>
        <w:jc w:val="center"/>
        <w:rPr>
          <w:rFonts w:hint="eastAsia" w:ascii="宋体" w:hAnsi="宋体" w:cs="宋体"/>
          <w:b/>
          <w:sz w:val="32"/>
          <w:szCs w:val="32"/>
          <w:highlight w:val="none"/>
        </w:rPr>
      </w:pPr>
      <w:r/>
      <w:bookmarkStart w:id="110" w:name="_Toc2400"/>
      <w:r/>
      <w:r/>
    </w:p>
    <w:p>
      <w:pPr>
        <w:pStyle w:val="878"/>
        <w:rPr>
          <w:rFonts w:hint="eastAsia"/>
          <w:highlight w:val="none"/>
        </w:rPr>
      </w:pPr>
      <w:r>
        <w:rPr>
          <w:rFonts w:hint="eastAsia"/>
          <w:highlight w:val="none"/>
        </w:rPr>
      </w:r>
      <w:r/>
    </w:p>
    <w:p>
      <w:pPr>
        <w:jc w:val="center"/>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bookmarkEnd w:id="110"/>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878"/>
        <w:rPr>
          <w:rFonts w:hint="eastAsia"/>
          <w:highlight w:val="none"/>
        </w:rPr>
      </w:pPr>
      <w:r>
        <w:rPr>
          <w:rFonts w:hint="eastAsia"/>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ind w:left="0" w:firstLine="842"/>
        <w:spacing w:line="360" w:lineRule="auto"/>
        <w:rPr>
          <w:rFonts w:hint="eastAsia" w:ascii="宋体" w:hAnsi="宋体" w:cs="宋体"/>
          <w:b/>
          <w:sz w:val="32"/>
          <w:szCs w:val="32"/>
          <w:highlight w:val="none"/>
          <w:u w:val="single"/>
        </w:rPr>
      </w:pPr>
      <w:r/>
      <w:bookmarkStart w:id="111" w:name="_Toc10010"/>
      <w:r>
        <w:rPr>
          <w:rFonts w:hint="eastAsia" w:ascii="宋体" w:hAnsi="宋体" w:cs="宋体"/>
          <w:b/>
          <w:sz w:val="32"/>
          <w:szCs w:val="32"/>
          <w:highlight w:val="none"/>
        </w:rPr>
        <w:t xml:space="preserve">项目名称：</w:t>
      </w:r>
      <w:bookmarkEnd w:id="111"/>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p>
    <w:p>
      <w:pPr>
        <w:ind w:left="0" w:firstLine="842"/>
        <w:spacing w:line="360" w:lineRule="auto"/>
        <w:rPr>
          <w:rFonts w:hint="eastAsia" w:ascii="宋体" w:hAnsi="宋体" w:cs="宋体"/>
          <w:b/>
          <w:sz w:val="32"/>
          <w:szCs w:val="32"/>
          <w:highlight w:val="none"/>
        </w:rPr>
      </w:pPr>
      <w:r/>
      <w:bookmarkStart w:id="112" w:name="_Toc8670"/>
      <w:r>
        <w:rPr>
          <w:rFonts w:hint="eastAsia" w:ascii="宋体" w:hAnsi="宋体" w:cs="宋体"/>
          <w:b/>
          <w:sz w:val="32"/>
          <w:szCs w:val="32"/>
          <w:highlight w:val="none"/>
        </w:rPr>
        <w:t xml:space="preserve">投标人</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lang w:val="en-US" w:eastAsia="zh-CN"/>
        </w:rPr>
        <w:t xml:space="preserve">电子签章</w:t>
      </w:r>
      <w:r>
        <w:rPr>
          <w:rFonts w:hint="eastAsia" w:ascii="宋体" w:hAnsi="宋体" w:cs="宋体"/>
          <w:b/>
          <w:sz w:val="32"/>
          <w:szCs w:val="32"/>
          <w:highlight w:val="none"/>
          <w:lang w:eastAsia="zh-CN"/>
        </w:rPr>
        <w:t xml:space="preserve">）</w:t>
      </w:r>
      <w:r>
        <w:rPr>
          <w:rFonts w:hint="eastAsia" w:ascii="宋体" w:hAnsi="宋体" w:cs="宋体"/>
          <w:b/>
          <w:sz w:val="32"/>
          <w:szCs w:val="32"/>
          <w:highlight w:val="none"/>
        </w:rPr>
        <w:t xml:space="preserve">：</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12"/>
      <w:r/>
      <w:r/>
    </w:p>
    <w:p>
      <w:pPr>
        <w:ind w:left="0" w:firstLine="842"/>
        <w:spacing w:line="360" w:lineRule="auto"/>
        <w:rPr>
          <w:rFonts w:hint="eastAsia" w:ascii="宋体" w:hAnsi="宋体" w:cs="宋体"/>
          <w:highlight w:val="none"/>
        </w:rPr>
      </w:pPr>
      <w:r/>
      <w:bookmarkStart w:id="113" w:name="_Toc24371"/>
      <w:r>
        <w:rPr>
          <w:rFonts w:hint="eastAsia" w:ascii="宋体" w:hAnsi="宋体" w:cs="宋体"/>
          <w:b/>
          <w:sz w:val="32"/>
          <w:szCs w:val="32"/>
          <w:highlight w:val="none"/>
        </w:rPr>
        <w:t xml:space="preserve">法定代表人或其被授权代表人</w:t>
      </w:r>
      <w:r>
        <w:rPr>
          <w:rFonts w:hint="eastAsia" w:ascii="宋体" w:hAnsi="宋体" w:cs="宋体"/>
          <w:b/>
          <w:sz w:val="32"/>
          <w:szCs w:val="32"/>
          <w:highlight w:val="none"/>
          <w:u w:val="none"/>
        </w:rPr>
        <w:t xml:space="preserve">（签名）</w:t>
      </w:r>
      <w:r>
        <w:rPr>
          <w:rFonts w:hint="eastAsia" w:ascii="宋体" w:hAnsi="宋体" w:cs="宋体"/>
          <w:b/>
          <w:sz w:val="32"/>
          <w:szCs w:val="32"/>
          <w:highlight w:val="none"/>
        </w:rPr>
        <w:t xml:space="preserve">：</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13"/>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bookmarkStart w:id="114" w:name="_Toc1179"/>
      <w:r>
        <w:rPr>
          <w:rFonts w:hint="eastAsia" w:ascii="宋体" w:hAnsi="宋体" w:cs="宋体"/>
          <w:b/>
          <w:sz w:val="32"/>
          <w:szCs w:val="32"/>
          <w:highlight w:val="none"/>
        </w:rPr>
        <w:t xml:space="preserve">日期：</w:t>
      </w:r>
      <w:r>
        <w:rPr>
          <w:rFonts w:hint="eastAsia" w:ascii="宋体" w:hAnsi="宋体" w:cs="宋体"/>
          <w:b/>
          <w:sz w:val="32"/>
          <w:szCs w:val="32"/>
          <w:highlight w:val="none"/>
          <w:u w:val="single"/>
        </w:rPr>
        <w:t xml:space="preserve">      年   月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日</w:t>
      </w:r>
      <w:bookmarkEnd w:id="114"/>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pPr>
      <w:r>
        <w:rPr>
          <w:highlight w:val="none"/>
        </w:rPr>
      </w:r>
      <w:r/>
    </w:p>
    <w:p>
      <w:pPr>
        <w:pStyle w:val="1053"/>
        <w:rPr>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highlight w:val="none"/>
        </w:rPr>
      </w:r>
      <w:r/>
    </w:p>
    <w:p>
      <w:pPr>
        <w:numPr>
          <w:ilvl w:val="0"/>
          <w:numId w:val="0"/>
        </w:numPr>
        <w:jc w:val="left"/>
        <w:spacing w:line="360" w:lineRule="auto"/>
        <w:rPr>
          <w:rFonts w:hint="eastAsia" w:ascii="黑体" w:hAnsi="宋体" w:eastAsia="黑体" w:cs="Times New Roman"/>
          <w:bCs/>
          <w:color w:val="000000"/>
          <w:sz w:val="28"/>
          <w:szCs w:val="28"/>
          <w:highlight w:val="none"/>
          <w:lang w:eastAsia="zh-CN"/>
        </w:rPr>
      </w:pPr>
      <w:r/>
      <w:bookmarkStart w:id="115" w:name="_Toc29168"/>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一</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开标</w:t>
      </w:r>
      <w:r>
        <w:rPr>
          <w:rFonts w:hint="eastAsia" w:ascii="黑体" w:hAnsi="宋体" w:eastAsia="黑体" w:cs="Times New Roman"/>
          <w:bCs/>
          <w:color w:val="000000"/>
          <w:sz w:val="28"/>
          <w:szCs w:val="28"/>
          <w:highlight w:val="none"/>
          <w:lang w:eastAsia="zh-CN"/>
        </w:rPr>
        <w:t xml:space="preserve">一览表</w:t>
      </w:r>
      <w:bookmarkEnd w:id="115"/>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开标</w:t>
      </w:r>
      <w:r>
        <w:rPr>
          <w:rFonts w:hint="eastAsia" w:ascii="黑体" w:hAnsi="宋体" w:eastAsia="黑体"/>
          <w:bCs/>
          <w:sz w:val="24"/>
          <w:szCs w:val="24"/>
          <w:highlight w:val="none"/>
        </w:rPr>
        <w:t xml:space="preserve">一览表（格式）：</w:t>
      </w:r>
      <w:r/>
    </w:p>
    <w:p>
      <w:pPr>
        <w:jc w:val="center"/>
        <w:spacing w:line="24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jc w:val="center"/>
        <w:spacing w:line="600" w:lineRule="auto"/>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开标</w:t>
      </w:r>
      <w:r>
        <w:rPr>
          <w:rFonts w:hint="eastAsia" w:ascii="宋体" w:hAnsi="宋体" w:cs="宋体"/>
          <w:sz w:val="28"/>
          <w:szCs w:val="28"/>
          <w:highlight w:val="none"/>
        </w:rPr>
        <w:t xml:space="preserve">一览表</w:t>
      </w:r>
      <w:r/>
    </w:p>
    <w:p>
      <w:pPr>
        <w:ind w:left="0" w:firstLine="420"/>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w:t>
      </w:r>
      <w:r>
        <w:rPr>
          <w:rFonts w:hint="eastAsia" w:ascii="宋体" w:hAnsi="宋体" w:eastAsia="宋体" w:cs="Times New Roman"/>
          <w:color w:val="000000"/>
          <w:sz w:val="24"/>
          <w:szCs w:val="24"/>
          <w:highlight w:val="none"/>
          <w:lang w:val="zh-CN"/>
        </w:rPr>
        <w:t xml:space="preserve">电子签章</w:t>
      </w:r>
      <w:r>
        <w:rPr>
          <w:rFonts w:hint="eastAsia" w:ascii="宋体" w:hAnsi="宋体" w:eastAsia="宋体" w:cs="Times New Roman"/>
          <w:color w:val="000000"/>
          <w:sz w:val="24"/>
          <w:szCs w:val="24"/>
          <w:highlight w:val="none"/>
        </w:rPr>
        <w:t xml:space="preserve">）：                                    </w:t>
      </w:r>
      <w:r/>
    </w:p>
    <w:p>
      <w:pPr>
        <w:ind w:left="0" w:firstLine="420"/>
        <w:spacing w:before="156" w:after="156"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left="0" w:firstLine="420"/>
        <w:spacing w:before="156" w:after="156" w:line="240" w:lineRule="auto"/>
        <w:rPr>
          <w:rFonts w:hint="eastAsia" w:ascii="宋体" w:hAnsi="宋体" w:eastAsia="宋体" w:cs="宋体"/>
          <w:sz w:val="24"/>
          <w:szCs w:val="24"/>
          <w:highlight w:val="none"/>
          <w:lang w:val="en-US" w:eastAsia="zh-CN"/>
        </w:rPr>
      </w:pPr>
      <w:r>
        <w:rPr>
          <w:rFonts w:hint="eastAsia" w:ascii="宋体" w:hAnsi="宋体" w:eastAsia="宋体" w:cs="Times New Roman"/>
          <w:color w:val="000000"/>
          <w:sz w:val="24"/>
          <w:szCs w:val="24"/>
          <w:highlight w:val="none"/>
        </w:rPr>
        <w:t xml:space="preserve">项目编号： </w:t>
      </w:r>
      <w:r>
        <w:rPr>
          <w:rFonts w:hint="eastAsia" w:ascii="宋体" w:hAnsi="宋体" w:cs="宋体"/>
          <w:sz w:val="24"/>
          <w:szCs w:val="24"/>
          <w:highlight w:val="none"/>
        </w:rPr>
        <w:t xml:space="preserve">                          </w:t>
      </w:r>
      <w:r/>
    </w:p>
    <w:tbl>
      <w:tblPr>
        <w:tblStyle w:val="874"/>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5772"/>
      </w:tblGrid>
      <w:tr>
        <w:trPr>
          <w:cantSplit/>
          <w:trHeight w:val="567"/>
        </w:trPr>
        <w:tc>
          <w:tcPr>
            <w:tcW w:w="3828"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项目名称</w:t>
            </w:r>
            <w:r/>
          </w:p>
        </w:tc>
        <w:tc>
          <w:tcPr>
            <w:tcW w:w="5772"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总价（小写）</w:t>
            </w:r>
            <w:r/>
          </w:p>
        </w:tc>
      </w:tr>
      <w:tr>
        <w:trPr>
          <w:cantSplit/>
          <w:trHeight w:val="1630"/>
        </w:trPr>
        <w:tc>
          <w:tcPr>
            <w:tcW w:w="3828" w:type="dxa"/>
            <w:vAlign w:val="center"/>
            <w:textDirection w:val="lrTb"/>
            <w:noWrap/>
          </w:tcPr>
          <w:p>
            <w:pPr>
              <w:pStyle w:val="1073"/>
              <w:jc w:val="center"/>
              <w:spacing w:line="400" w:lineRule="exact"/>
              <w:rPr>
                <w:rFonts w:hAnsi="宋体"/>
                <w:bCs/>
                <w:szCs w:val="24"/>
              </w:rPr>
            </w:pPr>
            <w:r>
              <w:rPr>
                <w:rFonts w:hint="eastAsia" w:cs="Times New Roman"/>
                <w:sz w:val="24"/>
                <w:szCs w:val="24"/>
                <w:highlight w:val="none"/>
                <w:lang w:val="en-US" w:eastAsia="zh-CN"/>
              </w:rPr>
              <w:t xml:space="preserve">理化生实验室设备采购(第二批)</w:t>
            </w:r>
            <w:r/>
          </w:p>
        </w:tc>
        <w:tc>
          <w:tcPr>
            <w:tcW w:w="5772" w:type="dxa"/>
            <w:vAlign w:val="center"/>
            <w:textDirection w:val="lrTb"/>
            <w:noWrap/>
          </w:tcPr>
          <w:p>
            <w:pPr>
              <w:pStyle w:val="1073"/>
              <w:ind w:firstLine="960"/>
              <w:rPr>
                <w:rFonts w:hAnsi="宋体"/>
                <w:b/>
                <w:szCs w:val="24"/>
              </w:rPr>
            </w:pPr>
            <w:r>
              <w:rPr>
                <w:rFonts w:hAnsi="宋体"/>
                <w:b/>
                <w:szCs w:val="24"/>
              </w:rPr>
            </w:r>
            <w:r/>
          </w:p>
        </w:tc>
      </w:tr>
    </w:tbl>
    <w:p>
      <w:pPr>
        <w:ind w:left="1"/>
        <w:jc w:val="right"/>
        <w:rPr>
          <w:rFonts w:ascii="宋体" w:hAnsi="宋体" w:cs="宋体"/>
          <w:sz w:val="24"/>
          <w:szCs w:val="24"/>
        </w:rPr>
      </w:pPr>
      <w:r>
        <w:rPr>
          <w:rFonts w:hint="eastAsia" w:ascii="宋体" w:hAnsi="宋体" w:cs="宋体"/>
          <w:sz w:val="24"/>
          <w:szCs w:val="24"/>
        </w:rPr>
        <w:t xml:space="preserve">                                     </w:t>
      </w:r>
      <w:r/>
    </w:p>
    <w:p>
      <w:pPr>
        <w:ind w:left="1"/>
        <w:jc w:val="right"/>
        <w:rPr>
          <w:rFonts w:ascii="宋体" w:hAnsi="宋体" w:cs="宋体"/>
          <w:sz w:val="24"/>
          <w:szCs w:val="24"/>
        </w:rPr>
      </w:pPr>
      <w:r>
        <w:rPr>
          <w:rFonts w:ascii="宋体" w:hAnsi="宋体" w:cs="宋体"/>
          <w:sz w:val="24"/>
          <w:szCs w:val="24"/>
        </w:rPr>
        <w:t xml:space="preserve"> </w:t>
      </w:r>
      <w:r/>
    </w:p>
    <w:p>
      <w:pPr>
        <w:ind w:left="1"/>
        <w:rPr>
          <w:rFonts w:ascii="宋体" w:hAnsi="宋体" w:cs="宋体"/>
          <w:sz w:val="24"/>
          <w:szCs w:val="24"/>
        </w:rPr>
      </w:pPr>
      <w:r>
        <w:rPr>
          <w:rFonts w:ascii="宋体" w:hAnsi="宋体" w:cs="宋体"/>
          <w:sz w:val="24"/>
          <w:szCs w:val="24"/>
        </w:rPr>
        <w:t xml:space="preserve"> </w:t>
      </w:r>
      <w:r/>
    </w:p>
    <w:p>
      <w:pPr>
        <w:jc w:val="right"/>
        <w:spacing w:before="100" w:after="100"/>
        <w:widowControl/>
        <w:rPr>
          <w:rFonts w:ascii="宋体" w:hAnsi="宋体" w:cs="宋体"/>
          <w:sz w:val="24"/>
          <w:szCs w:val="24"/>
        </w:rPr>
      </w:pPr>
      <w:r>
        <w:rPr>
          <w:rFonts w:hint="eastAsia" w:ascii="宋体" w:hAnsi="宋体" w:cs="宋体"/>
          <w:sz w:val="24"/>
          <w:szCs w:val="24"/>
        </w:rPr>
        <w:t xml:space="preserve">                            年  月  日</w:t>
      </w:r>
      <w:r/>
    </w:p>
    <w:p>
      <w:pPr>
        <w:numPr>
          <w:ilvl w:val="0"/>
          <w:numId w:val="0"/>
        </w:numPr>
        <w:ind w:left="0" w:firstLine="480"/>
        <w:jc w:val="left"/>
        <w:spacing w:line="360" w:lineRule="auto"/>
        <w:rPr>
          <w:rFonts w:hint="eastAsia"/>
          <w:highlight w:val="none"/>
          <w:lang w:val="zh-CN"/>
        </w:rPr>
      </w:pPr>
      <w:r>
        <w:rPr>
          <w:rFonts w:hint="eastAsia"/>
          <w:highlight w:val="none"/>
          <w:lang w:val="zh-CN"/>
        </w:rPr>
      </w:r>
      <w:r/>
    </w:p>
    <w:p>
      <w:pPr>
        <w:numPr>
          <w:ilvl w:val="0"/>
          <w:numId w:val="0"/>
        </w:numPr>
        <w:jc w:val="left"/>
        <w:spacing w:line="360" w:lineRule="auto"/>
        <w:rPr>
          <w:rFonts w:hint="eastAsia" w:ascii="黑体" w:hAnsi="宋体" w:eastAsia="黑体" w:cs="Times New Roman"/>
          <w:bCs/>
          <w:color w:val="000000"/>
          <w:sz w:val="28"/>
          <w:szCs w:val="28"/>
          <w:highlight w:val="none"/>
          <w:lang w:eastAsia="zh-CN"/>
        </w:rPr>
      </w:pPr>
      <w:r>
        <w:rPr>
          <w:rFonts w:hint="eastAsia" w:ascii="宋体" w:hAnsi="宋体"/>
          <w:sz w:val="28"/>
          <w:szCs w:val="28"/>
          <w:highlight w:val="none"/>
        </w:rPr>
        <w:br w:type="page" w:clear="all"/>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二</w:t>
      </w:r>
      <w:r>
        <w:rPr>
          <w:rFonts w:hint="eastAsia" w:ascii="黑体" w:hAnsi="宋体" w:eastAsia="黑体" w:cs="Times New Roman"/>
          <w:bCs/>
          <w:color w:val="000000"/>
          <w:sz w:val="28"/>
          <w:szCs w:val="28"/>
          <w:highlight w:val="none"/>
          <w:lang w:eastAsia="zh-CN"/>
        </w:rPr>
        <w:t xml:space="preserve">）资格证明文件</w:t>
      </w:r>
      <w:r/>
    </w:p>
    <w:p>
      <w:pPr>
        <w:ind w:firstLine="480"/>
        <w:jc w:val="both"/>
        <w:spacing w:before="156" w:after="156"/>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1、关于资格的声明函（格式）：</w:t>
      </w:r>
      <w:r/>
    </w:p>
    <w:p>
      <w:pPr>
        <w:jc w:val="center"/>
        <w:spacing w:before="156" w:after="156" w:line="240" w:lineRule="auto"/>
        <w:rPr>
          <w:rFonts w:hint="eastAsia" w:ascii="黑体" w:hAnsi="Times New Roman" w:eastAsia="黑体" w:cs="Times New Roman"/>
          <w:bCs/>
          <w:color w:val="auto"/>
          <w:sz w:val="28"/>
          <w:szCs w:val="28"/>
          <w:highlight w:val="none"/>
        </w:rPr>
      </w:pPr>
      <w:r/>
      <w:bookmarkStart w:id="116" w:name="报价方关于资格的声明函（格式）"/>
      <w:r/>
      <w:bookmarkEnd w:id="116"/>
      <w:r/>
      <w:bookmarkStart w:id="117" w:name="_Toc24943"/>
      <w:r/>
      <w:r/>
    </w:p>
    <w:p>
      <w:pPr>
        <w:jc w:val="center"/>
        <w:spacing w:before="156" w:after="156"/>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关于资格的声明函</w:t>
      </w:r>
      <w:bookmarkEnd w:id="117"/>
      <w:r/>
      <w:r/>
    </w:p>
    <w:p>
      <w:pPr>
        <w:jc w:val="cente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30"/>
          <w:highlight w:val="none"/>
          <w:lang w:val="en-US" w:eastAsia="zh-CN"/>
        </w:rPr>
        <w:t xml:space="preserve">        </w:t>
      </w:r>
      <w:r>
        <w:rPr>
          <w:rFonts w:hint="eastAsia" w:ascii="宋体" w:hAnsi="宋体" w:cs="宋体"/>
          <w:bCs/>
          <w:sz w:val="30"/>
          <w:highlight w:val="none"/>
        </w:rPr>
        <w:t xml:space="preserve"> </w:t>
      </w:r>
      <w:bookmarkStart w:id="118" w:name="OLE_LINK80"/>
      <w:r>
        <w:rPr>
          <w:rFonts w:hint="eastAsia" w:ascii="宋体" w:hAnsi="宋体" w:cs="宋体"/>
          <w:bCs/>
          <w:sz w:val="24"/>
          <w:szCs w:val="24"/>
          <w:highlight w:val="none"/>
        </w:rPr>
        <w:t xml:space="preserve">项目编号：</w:t>
      </w:r>
      <w:r/>
    </w:p>
    <w:p>
      <w:pPr>
        <w:jc w:val="center"/>
        <w:spacing w:line="480" w:lineRule="auto"/>
        <w:tabs>
          <w:tab w:val="left" w:pos="63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 日期：</w:t>
      </w:r>
      <w:bookmarkEnd w:id="118"/>
      <w:r/>
      <w:r/>
    </w:p>
    <w:p>
      <w:pPr>
        <w:spacing w:line="48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江苏省宜兴第一中学周铁分校</w:t>
      </w:r>
      <w:r>
        <w:rPr>
          <w:rFonts w:hint="eastAsia" w:ascii="宋体" w:hAnsi="宋体" w:cs="宋体"/>
          <w:bCs/>
          <w:sz w:val="24"/>
          <w:szCs w:val="24"/>
          <w:highlight w:val="none"/>
        </w:rPr>
        <w:t xml:space="preserve">：</w:t>
      </w:r>
      <w:r/>
    </w:p>
    <w:p>
      <w:pPr>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    我公司（单位）参加本次项目（</w:t>
      </w:r>
      <w:r>
        <w:rPr>
          <w:rFonts w:hint="eastAsia" w:ascii="宋体" w:hAnsi="宋体"/>
          <w:bCs/>
          <w:sz w:val="24"/>
          <w:szCs w:val="24"/>
          <w:highlight w:val="none"/>
        </w:rPr>
        <w:t xml:space="preserve">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w:t>
      </w:r>
      <w:bookmarkStart w:id="119" w:name="OLE_LINK243"/>
      <w:r>
        <w:rPr>
          <w:rFonts w:hint="eastAsia" w:ascii="宋体" w:hAnsi="宋体" w:cs="宋体"/>
          <w:bCs/>
          <w:sz w:val="24"/>
          <w:szCs w:val="24"/>
          <w:highlight w:val="none"/>
        </w:rPr>
        <w:t xml:space="preserve">政府采购活动前三年内在经营活动中没有重大违法记录；</w:t>
      </w:r>
      <w:r>
        <w:rPr>
          <w:rFonts w:hint="eastAsia" w:ascii="宋体" w:hAnsi="宋体" w:cs="宋体"/>
          <w:sz w:val="24"/>
          <w:szCs w:val="24"/>
          <w:highlight w:val="none"/>
          <w:lang w:bidi="ar"/>
        </w:rPr>
        <w:t xml:space="preserve">同时，投标时不存在</w:t>
      </w:r>
      <w:bookmarkStart w:id="120" w:name="OLE_LINK242"/>
      <w:r>
        <w:rPr>
          <w:rFonts w:hint="eastAsia" w:ascii="宋体" w:hAnsi="宋体" w:cs="宋体"/>
          <w:sz w:val="24"/>
          <w:szCs w:val="24"/>
          <w:highlight w:val="none"/>
          <w:lang w:bidi="ar"/>
        </w:rPr>
        <w:t xml:space="preserve">有效期限</w:t>
      </w:r>
      <w:bookmarkEnd w:id="120"/>
      <w:r>
        <w:rPr>
          <w:rFonts w:hint="eastAsia" w:ascii="宋体" w:hAnsi="宋体" w:cs="宋体"/>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sz w:val="24"/>
          <w:szCs w:val="24"/>
          <w:highlight w:val="none"/>
        </w:rPr>
        <w:t xml:space="preserve">且具备履行合同所必需的设备和专业技术能力。</w:t>
      </w:r>
      <w:bookmarkEnd w:id="119"/>
      <w:r>
        <w:rPr>
          <w:rFonts w:hint="eastAsia" w:ascii="宋体" w:hAnsi="宋体" w:cs="宋体"/>
          <w:bCs/>
          <w:sz w:val="24"/>
          <w:szCs w:val="24"/>
          <w:highlight w:val="none"/>
        </w:rPr>
        <w:t xml:space="preserve">我公司（单位）愿针对本次项目（</w:t>
      </w:r>
      <w:r>
        <w:rPr>
          <w:rFonts w:hint="eastAsia" w:ascii="宋体" w:hAnsi="宋体"/>
          <w:bCs/>
          <w:sz w:val="24"/>
          <w:szCs w:val="24"/>
          <w:highlight w:val="none"/>
        </w:rPr>
        <w:t xml:space="preserve">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）进行投标，</w:t>
      </w:r>
      <w:r>
        <w:rPr>
          <w:rFonts w:hint="eastAsia" w:ascii="宋体" w:hAnsi="宋体" w:cs="宋体"/>
          <w:sz w:val="24"/>
          <w:szCs w:val="24"/>
          <w:highlight w:val="none"/>
        </w:rPr>
        <w:t xml:space="preserve">所提供的货物均为原厂全新合格品，</w:t>
      </w:r>
      <w:r>
        <w:rPr>
          <w:rFonts w:hint="eastAsia" w:ascii="宋体" w:hAnsi="宋体" w:cs="宋体"/>
          <w:bCs/>
          <w:sz w:val="24"/>
          <w:szCs w:val="24"/>
          <w:highlight w:val="none"/>
        </w:rPr>
        <w:t xml:space="preserve">投标文件中所有关于投标资格的文件、证明、陈述均是真实的、准确的。若有违背，我公司（单位）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同意监管部门做出的相关决定并承担由此而产生的一切后果。</w:t>
      </w:r>
      <w:r/>
    </w:p>
    <w:p>
      <w:pPr>
        <w:rPr>
          <w:rFonts w:hint="eastAsia" w:ascii="宋体" w:hAnsi="宋体" w:cs="宋体"/>
          <w:sz w:val="24"/>
          <w:szCs w:val="28"/>
          <w:highlight w:val="none"/>
        </w:rPr>
      </w:pPr>
      <w:r>
        <w:rPr>
          <w:rFonts w:hint="eastAsia" w:ascii="宋体" w:hAnsi="宋体" w:cs="宋体"/>
          <w:bCs/>
          <w:sz w:val="24"/>
          <w:szCs w:val="24"/>
          <w:highlight w:val="none"/>
        </w:rPr>
        <w:t xml:space="preserve">                                    </w:t>
      </w:r>
      <w:bookmarkStart w:id="121" w:name="OLE_LINK81"/>
      <w:r/>
      <w:r/>
    </w:p>
    <w:p>
      <w:pPr>
        <w:jc w:val="center"/>
        <w:spacing w:line="360" w:lineRule="auto"/>
        <w:rPr>
          <w:rFonts w:hint="eastAsia" w:ascii="宋体" w:hAnsi="宋体"/>
          <w:bCs/>
          <w:color w:val="000000"/>
          <w:sz w:val="24"/>
          <w:highlight w:val="none"/>
          <w:lang w:val="zh-CN"/>
        </w:rPr>
      </w:pPr>
      <w:r>
        <w:rPr>
          <w:rFonts w:hint="eastAsia" w:ascii="宋体" w:hAnsi="宋体" w:cs="宋体"/>
          <w:bCs/>
          <w:sz w:val="24"/>
          <w:highlight w:val="none"/>
        </w:rPr>
        <w:t xml:space="preserve">       </w:t>
      </w:r>
      <w:r>
        <w:rPr>
          <w:rFonts w:hint="eastAsia" w:ascii="宋体" w:hAnsi="宋体"/>
          <w:bCs/>
          <w:color w:val="000000"/>
          <w:sz w:val="24"/>
          <w:highlight w:val="none"/>
        </w:rPr>
        <w:t xml:space="preserve"> 投标人（电子签章）：</w:t>
      </w:r>
      <w:bookmarkEnd w:id="121"/>
      <w:r/>
      <w:r/>
    </w:p>
    <w:p>
      <w:pPr>
        <w:spacing w:line="360" w:lineRule="auto"/>
        <w:rPr>
          <w:rFonts w:hint="eastAsia" w:ascii="宋体" w:hAnsi="宋体" w:cs="宋体"/>
          <w:bCs/>
          <w:sz w:val="28"/>
          <w:szCs w:val="28"/>
          <w:highlight w:val="none"/>
        </w:rPr>
      </w:pPr>
      <w:r/>
      <w:bookmarkStart w:id="122" w:name="OLE_LINK36"/>
      <w:r/>
      <w:r/>
    </w:p>
    <w:p>
      <w:pP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bookmarkEnd w:id="122"/>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53"/>
        <w:rPr>
          <w:rFonts w:ascii="宋体" w:hAnsi="宋体" w:cs="宋体"/>
          <w:bCs/>
          <w:sz w:val="24"/>
          <w:szCs w:val="24"/>
          <w:highlight w:val="none"/>
        </w:rPr>
      </w:pPr>
      <w:r>
        <w:rPr>
          <w:rFonts w:ascii="宋体" w:hAnsi="宋体" w:cs="宋体"/>
          <w:bCs/>
          <w:sz w:val="24"/>
          <w:szCs w:val="24"/>
          <w:highlight w:val="none"/>
        </w:rPr>
      </w:r>
      <w:r/>
    </w:p>
    <w:p>
      <w:pPr>
        <w:rPr>
          <w:rFonts w:hint="eastAsia"/>
          <w:color w:val="000000"/>
          <w:highlight w:val="none"/>
        </w:rPr>
        <w:outlineLvl w:val="0"/>
      </w:pPr>
      <w:r/>
      <w:bookmarkStart w:id="123" w:name="_Hlk131928408"/>
      <w:r/>
      <w:r/>
    </w:p>
    <w:p>
      <w:pPr>
        <w:ind w:firstLine="420"/>
        <w:rPr>
          <w:rFonts w:hint="eastAsia"/>
          <w:color w:val="000000"/>
          <w:highlight w:val="none"/>
        </w:rPr>
        <w:outlineLvl w:val="0"/>
      </w:pPr>
      <w:r>
        <w:rPr>
          <w:rFonts w:hint="eastAsia"/>
          <w:color w:val="000000"/>
          <w:highlight w:val="none"/>
        </w:rPr>
      </w:r>
      <w:r/>
    </w:p>
    <w:p>
      <w:pPr>
        <w:rPr>
          <w:highlight w:val="none"/>
        </w:rPr>
      </w:pPr>
      <w:r>
        <w:rPr>
          <w:rFonts w:hint="eastAsia"/>
          <w:highlight w:val="none"/>
        </w:rPr>
        <w:t xml:space="preserve">注：上述所称“重大违法记录”,是指供应商因违法经营受到刑事处罚或者责令停产停业、吊销许可证或者执照、较大数额罚款等行政处罚。</w:t>
      </w:r>
      <w:bookmarkEnd w:id="123"/>
      <w:r/>
      <w:r/>
    </w:p>
    <w:p>
      <w:pPr>
        <w:rPr>
          <w:rFonts w:hint="eastAsia"/>
          <w:highlight w:val="none"/>
        </w:rPr>
        <w:sectPr>
          <w:footerReference w:type="default" r:id="rId16"/>
          <w:footnotePr/>
          <w:endnotePr/>
          <w:type w:val="nextPage"/>
          <w:pgSz w:w="11906" w:h="16838" w:orient="portrait"/>
          <w:pgMar w:top="1440" w:right="1078" w:bottom="1440" w:left="1168" w:header="851" w:footer="992" w:gutter="0"/>
          <w:cols w:num="1" w:sep="0" w:space="1701" w:equalWidth="1"/>
          <w:docGrid w:linePitch="360"/>
        </w:sectPr>
      </w:pPr>
      <w:r>
        <w:rPr>
          <w:rFonts w:hint="eastAsia"/>
          <w:highlight w:val="none"/>
        </w:rPr>
      </w:r>
      <w:r/>
    </w:p>
    <w:p>
      <w:pPr>
        <w:ind w:firstLine="480"/>
        <w:jc w:val="both"/>
        <w:spacing w:before="156" w:after="156"/>
        <w:rPr>
          <w:rFonts w:hint="eastAsia" w:ascii="黑体" w:hAnsi="黑体" w:eastAsia="黑体"/>
          <w:sz w:val="28"/>
          <w:szCs w:val="28"/>
          <w:highlight w:val="none"/>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hint="eastAsia" w:ascii="宋体" w:hAnsi="宋体" w:cs="宋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1"/>
          <w:highlight w:val="none"/>
          <w:lang w:val="zh-CN"/>
        </w:rPr>
        <w:t xml:space="preserve">项目编号： </w:t>
      </w:r>
      <w:r/>
    </w:p>
    <w:p>
      <w:pPr>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  日期：</w:t>
      </w:r>
      <w:r/>
    </w:p>
    <w:p>
      <w:pPr>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bCs/>
          <w:sz w:val="24"/>
          <w:szCs w:val="24"/>
          <w:highlight w:val="none"/>
          <w:lang w:eastAsia="zh-CN"/>
        </w:rPr>
        <w:t xml:space="preserve">江苏省宜兴第一中学周铁分校</w:t>
      </w:r>
      <w:r>
        <w:rPr>
          <w:rFonts w:hint="eastAsia" w:ascii="宋体" w:hAnsi="宋体" w:cs="宋体"/>
          <w:bCs/>
          <w:sz w:val="24"/>
          <w:szCs w:val="24"/>
          <w:highlight w:val="none"/>
        </w:rPr>
        <w:t xml:space="preserve">、</w:t>
      </w:r>
      <w:r>
        <w:rPr>
          <w:rFonts w:hint="eastAsia" w:ascii="宋体" w:hAnsi="宋体" w:cs="宋体"/>
          <w:sz w:val="24"/>
          <w:szCs w:val="21"/>
          <w:highlight w:val="none"/>
          <w:lang w:val="zh-CN"/>
        </w:rPr>
        <w:t xml:space="preserve">江苏宏翔工程造价咨询有限公司：</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cs="宋体"/>
          <w:sz w:val="24"/>
          <w:szCs w:val="21"/>
          <w:highlight w:val="none"/>
          <w:u w:val="single"/>
          <w:lang w:val="en-US" w:eastAsia="zh-CN"/>
        </w:rPr>
        <w:t xml:space="preserve">       </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的响应报价，以我方名义签署、确认、澄清、提交、撤回、修改相关文件和处理有关事宜，其法律后果由我方承担。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jc w:val="right"/>
        <w:spacing w:line="360" w:lineRule="auto"/>
        <w:rPr>
          <w:sz w:val="24"/>
          <w:szCs w:val="24"/>
          <w:highlight w:val="none"/>
        </w:rPr>
      </w:pPr>
      <w:r>
        <w:rPr>
          <w:rFonts w:hint="eastAsia" w:ascii="宋体" w:hAnsi="宋体" w:cs="宋体"/>
          <w:sz w:val="24"/>
          <w:szCs w:val="21"/>
          <w:highlight w:val="none"/>
          <w:lang w:val="zh-CN"/>
        </w:rPr>
        <w:t xml:space="preserve">                                    </w:t>
      </w:r>
      <w:r>
        <w:rPr>
          <w:rFonts w:hint="eastAsia" w:ascii="宋体" w:hAnsi="宋体"/>
          <w:bCs/>
          <w:color w:val="000000"/>
          <w:sz w:val="24"/>
          <w:highlight w:val="none"/>
        </w:rPr>
        <w:t xml:space="preserve"> </w:t>
      </w: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r>
      <w:r/>
    </w:p>
    <w:p>
      <w:pP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53"/>
        <w:rPr>
          <w:rFonts w:ascii="宋体" w:hAnsi="宋体" w:cs="宋体"/>
          <w:bCs/>
          <w:sz w:val="24"/>
          <w:szCs w:val="24"/>
          <w:highlight w:val="none"/>
        </w:rPr>
      </w:pPr>
      <w:r>
        <w:rPr>
          <w:rFonts w:ascii="宋体" w:hAnsi="宋体" w:cs="宋体"/>
          <w:bCs/>
          <w:sz w:val="24"/>
          <w:szCs w:val="24"/>
          <w:highlight w:val="none"/>
        </w:rPr>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rPr>
          <w:rFonts w:hint="eastAsia" w:ascii="宋体" w:hAnsi="宋体" w:cs="宋体"/>
          <w:bCs/>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sz w:val="24"/>
          <w:szCs w:val="24"/>
          <w:highlight w:val="none"/>
        </w:rPr>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w:t>
      </w:r>
      <w:bookmarkStart w:id="124" w:name="_Hlk151362709"/>
      <w:r>
        <w:rPr>
          <w:rFonts w:hint="eastAsia" w:ascii="宋体" w:hAnsi="宋体"/>
          <w:color w:val="000000"/>
          <w:sz w:val="24"/>
          <w:szCs w:val="21"/>
          <w:highlight w:val="none"/>
          <w:lang w:val="zh-CN"/>
        </w:rPr>
        <w:t xml:space="preserve">详见第二章投标人须知相关要求</w:t>
      </w:r>
      <w:bookmarkEnd w:id="124"/>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jc w:val="left"/>
        <w:rPr>
          <w:color w:val="000000"/>
          <w:sz w:val="24"/>
          <w:szCs w:val="24"/>
          <w:highlight w:val="none"/>
        </w:rPr>
      </w:pPr>
      <w:r>
        <w:rPr>
          <w:color w:val="000000"/>
          <w:sz w:val="24"/>
          <w:szCs w:val="24"/>
          <w:highlight w:val="none"/>
        </w:rPr>
      </w:r>
      <w:r/>
    </w:p>
    <w:p>
      <w:pPr>
        <w:numPr>
          <w:ilvl w:val="0"/>
          <w:numId w:val="0"/>
        </w:numPr>
        <w:ind w:firstLine="480"/>
        <w:spacing w:line="360" w:lineRule="auto"/>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lang w:val="zh-CN" w:eastAsia="zh-CN"/>
        </w:rPr>
        <w:t xml:space="preserve">8、</w:t>
      </w:r>
      <w:r>
        <w:rPr>
          <w:rFonts w:hint="eastAsia" w:ascii="黑体" w:hAnsi="宋体" w:eastAsia="黑体"/>
          <w:bCs/>
          <w:color w:val="000000"/>
          <w:sz w:val="24"/>
          <w:szCs w:val="24"/>
          <w:highlight w:val="none"/>
        </w:rPr>
        <w:t xml:space="preserve">无不良信用记录：</w:t>
      </w:r>
      <w:r>
        <w:rPr>
          <w:rFonts w:hint="eastAsia" w:ascii="宋体" w:hAnsi="宋体"/>
          <w:color w:val="000000"/>
          <w:sz w:val="24"/>
          <w:szCs w:val="21"/>
          <w:highlight w:val="none"/>
          <w:lang w:val="zh-CN"/>
        </w:rPr>
        <w:t xml:space="preserve">详见第二章投标人须知相关要求</w:t>
      </w:r>
      <w:r/>
    </w:p>
    <w:p>
      <w:pPr>
        <w:numPr>
          <w:ilvl w:val="0"/>
          <w:numId w:val="0"/>
        </w:numPr>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firstLine="480"/>
        <w:jc w:val="left"/>
        <w:spacing w:line="360" w:lineRule="auto"/>
        <w:tabs>
          <w:tab w:val="left" w:pos="255" w:leader="none"/>
        </w:tabs>
        <w:rPr>
          <w:rFonts w:ascii="黑体" w:hAnsi="宋体" w:eastAsia="黑体"/>
          <w:bCs/>
          <w:color w:val="000000"/>
          <w:sz w:val="24"/>
          <w:szCs w:val="24"/>
          <w:highlight w:val="none"/>
        </w:rPr>
      </w:pPr>
      <w:r/>
      <w:bookmarkStart w:id="125"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p>
    <w:p>
      <w:pPr>
        <w:ind w:firstLine="480"/>
        <w:spacing w:line="360" w:lineRule="auto"/>
        <w:tabs>
          <w:tab w:val="left" w:pos="0" w:leader="none"/>
          <w:tab w:val="left" w:pos="255" w:leader="none"/>
        </w:tabs>
        <w:rPr>
          <w:rFonts w:ascii="宋体" w:hAnsi="宋体"/>
          <w:b/>
          <w:color w:val="000000"/>
          <w:sz w:val="24"/>
          <w:szCs w:val="24"/>
          <w:highlight w:val="none"/>
        </w:rPr>
      </w:pPr>
      <w:r/>
      <w:bookmarkStart w:id="126" w:name="_Hlk151451145"/>
      <w:r/>
      <w:bookmarkStart w:id="127" w:name="_Hlk151458964"/>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bookmarkEnd w:id="126"/>
      <w:r/>
      <w:bookmarkEnd w:id="127"/>
      <w:r/>
      <w:bookmarkStart w:id="128" w:name="_Hlk151458994"/>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0"/>
        <w:jc w:val="left"/>
        <w:spacing w:line="360" w:lineRule="auto"/>
        <w:tabs>
          <w:tab w:val="left" w:pos="255" w:leader="none"/>
        </w:tabs>
        <w:rPr>
          <w:rFonts w:hint="eastAsia" w:ascii="黑体" w:hAnsi="宋体" w:eastAsia="黑体"/>
          <w:bCs/>
          <w:color w:val="000000"/>
          <w:sz w:val="24"/>
          <w:szCs w:val="24"/>
          <w:highlight w:val="none"/>
          <w:lang w:val="zh-CN" w:eastAsia="zh-CN"/>
        </w:rPr>
      </w:pPr>
      <w:r>
        <w:rPr>
          <w:rFonts w:hint="eastAsia" w:ascii="黑体" w:hAnsi="宋体" w:eastAsia="黑体"/>
          <w:bCs/>
          <w:color w:val="000000"/>
          <w:sz w:val="24"/>
          <w:szCs w:val="24"/>
          <w:highlight w:val="none"/>
          <w:lang w:val="en-US" w:eastAsia="zh-CN"/>
        </w:rPr>
        <w:t xml:space="preserve">10、特定资格要求</w:t>
      </w:r>
      <w:r>
        <w:rPr>
          <w:rFonts w:hint="eastAsia" w:ascii="黑体" w:hAnsi="宋体" w:eastAsia="黑体"/>
          <w:bCs/>
          <w:color w:val="000000"/>
          <w:sz w:val="24"/>
          <w:szCs w:val="24"/>
          <w:highlight w:val="none"/>
          <w:lang w:val="zh-CN" w:eastAsia="zh-CN"/>
        </w:rPr>
        <w:t xml:space="preserve">：无。</w:t>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128"/>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125"/>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1062"/>
        <w:rPr>
          <w:rFonts w:hint="eastAsia"/>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highlight w:val="none"/>
        </w:rPr>
      </w:r>
      <w:r/>
    </w:p>
    <w:p>
      <w:pPr>
        <w:spacing w:after="156"/>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lang w:val="en-US" w:eastAsia="zh-CN"/>
        </w:rPr>
        <w:t xml:space="preserve">三</w:t>
      </w:r>
      <w:r>
        <w:rPr>
          <w:rFonts w:hint="eastAsia" w:ascii="黑体" w:hAnsi="宋体" w:eastAsia="黑体" w:cs="Times New Roman"/>
          <w:bCs/>
          <w:color w:val="000000"/>
          <w:sz w:val="28"/>
          <w:szCs w:val="28"/>
          <w:highlight w:val="none"/>
          <w:lang w:eastAsia="zh-CN"/>
        </w:rPr>
        <w:t xml:space="preserve">）</w:t>
      </w:r>
      <w:r>
        <w:rPr>
          <w:rFonts w:hint="eastAsia" w:ascii="黑体" w:hAnsi="宋体" w:eastAsia="黑体" w:cs="Times New Roman"/>
          <w:bCs/>
          <w:color w:val="000000"/>
          <w:sz w:val="28"/>
          <w:szCs w:val="28"/>
          <w:highlight w:val="none"/>
        </w:rPr>
        <w:t xml:space="preserve">符合条件</w:t>
      </w:r>
      <w:r/>
    </w:p>
    <w:p>
      <w:pPr>
        <w:ind w:firstLine="560"/>
        <w:rPr>
          <w:rFonts w:ascii="宋体"/>
          <w:b/>
          <w:bCs/>
          <w:color w:val="000000"/>
          <w:sz w:val="24"/>
          <w:szCs w:val="24"/>
          <w:highlight w:val="none"/>
        </w:rPr>
      </w:pPr>
      <w:r>
        <w:rPr>
          <w:rFonts w:hint="eastAsia" w:ascii="黑体" w:hAnsi="宋体" w:eastAsia="黑体"/>
          <w:bCs/>
          <w:color w:val="000000"/>
          <w:sz w:val="24"/>
          <w:szCs w:val="24"/>
          <w:highlight w:val="none"/>
          <w:lang w:val="en-US" w:eastAsia="zh-CN"/>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致江苏省宜兴第一中学周铁分校、</w:t>
      </w:r>
      <w:r>
        <w:rPr>
          <w:rFonts w:hint="eastAsia" w:ascii="宋体" w:hAnsi="宋体"/>
          <w:bCs/>
          <w:color w:val="000000"/>
          <w:sz w:val="24"/>
          <w:highlight w:val="none"/>
          <w:lang w:val="en-US" w:eastAsia="zh-CN"/>
        </w:rPr>
        <w:t xml:space="preserve">江苏宏翔工程造价咨询有限公司</w:t>
      </w:r>
      <w:r>
        <w:rPr>
          <w:rFonts w:hint="eastAsia" w:ascii="宋体" w:hAnsi="宋体"/>
          <w:bCs/>
          <w:color w:val="000000"/>
          <w:sz w:val="24"/>
          <w:highlight w:val="none"/>
          <w:lang w:val="zh-CN"/>
        </w:rPr>
        <w:t xml:space="preserve">：</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我方收到你们</w:t>
      </w:r>
      <w:r>
        <w:rPr>
          <w:rFonts w:hint="eastAsia" w:ascii="宋体" w:hAnsi="宋体"/>
          <w:bCs/>
          <w:color w:val="000000"/>
          <w:sz w:val="24"/>
          <w:highlight w:val="none"/>
          <w:u w:val="none"/>
          <w:lang w:val="en-US" w:eastAsia="zh-CN"/>
        </w:rPr>
        <w:t xml:space="preserve">（项目编号：</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none"/>
          <w:lang w:val="en-US" w:eastAsia="zh-CN"/>
        </w:rPr>
        <w:t xml:space="preserve">）</w:t>
      </w:r>
      <w:r>
        <w:rPr>
          <w:rFonts w:hint="eastAsia" w:ascii="宋体" w:hAnsi="宋体"/>
          <w:bCs/>
          <w:color w:val="000000"/>
          <w:sz w:val="24"/>
          <w:highlight w:val="none"/>
          <w:lang w:val="zh-CN"/>
        </w:rPr>
        <w:t xml:space="preserve"> 招标文件，经仔细阅读和研究，我方决定参加投标。</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我方愿意按照招标文件的一切要求，提供投标产品，投标总价详见《开标一览表》。</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129" w:name="_Hlk160091917"/>
      <w:r>
        <w:rPr>
          <w:rFonts w:hint="eastAsia" w:ascii="宋体" w:hAnsi="宋体"/>
          <w:bCs/>
          <w:color w:val="auto"/>
          <w:sz w:val="24"/>
          <w:highlight w:val="none"/>
          <w:lang w:val="zh-CN"/>
        </w:rPr>
        <w:t xml:space="preserve">产品的技术参数</w:t>
      </w:r>
      <w:bookmarkEnd w:id="129"/>
      <w:r>
        <w:rPr>
          <w:rFonts w:hint="eastAsia" w:ascii="宋体" w:hAnsi="宋体"/>
          <w:bCs/>
          <w:color w:val="auto"/>
          <w:sz w:val="24"/>
          <w:highlight w:val="none"/>
          <w:lang w:val="zh-CN"/>
        </w:rPr>
        <w:t xml:space="preserve">，详见《</w:t>
      </w:r>
      <w:bookmarkStart w:id="130" w:name="_Hlk160091504"/>
      <w:r>
        <w:rPr>
          <w:rFonts w:hint="eastAsia" w:ascii="宋体" w:hAnsi="宋体"/>
          <w:bCs/>
          <w:color w:val="auto"/>
          <w:sz w:val="24"/>
          <w:highlight w:val="none"/>
          <w:lang w:val="zh-CN"/>
        </w:rPr>
        <w:t xml:space="preserve">项目技术要求偏离表</w:t>
      </w:r>
      <w:bookmarkEnd w:id="130"/>
      <w:r>
        <w:rPr>
          <w:rFonts w:hint="eastAsia" w:ascii="宋体" w:hAnsi="宋体"/>
          <w:bCs/>
          <w:color w:val="auto"/>
          <w:sz w:val="24"/>
          <w:highlight w:val="none"/>
          <w:lang w:val="zh-CN"/>
        </w:rPr>
        <w:t xml:space="preserve">》</w:t>
      </w:r>
      <w:r>
        <w:rPr>
          <w:rFonts w:hint="eastAsia" w:ascii="宋体" w:hAnsi="宋体"/>
          <w:bCs/>
          <w:color w:val="000000"/>
          <w:sz w:val="24"/>
          <w:highlight w:val="none"/>
          <w:lang w:val="zh-CN"/>
        </w:rPr>
        <w:t xml:space="preserve">。</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w:t>
      </w:r>
      <w:r>
        <w:rPr>
          <w:rFonts w:hint="eastAsia" w:ascii="宋体" w:hAnsi="宋体"/>
          <w:bCs/>
          <w:color w:val="000000"/>
          <w:sz w:val="24"/>
          <w:highlight w:val="none"/>
          <w:lang w:val="zh-CN"/>
        </w:rPr>
        <w:t xml:space="preserve">。</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w:t>
      </w:r>
      <w:r/>
    </w:p>
    <w:p>
      <w:pPr>
        <w:numPr>
          <w:ilvl w:val="0"/>
          <w:numId w:val="12"/>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w:t>
      </w:r>
      <w:r>
        <w:rPr>
          <w:rFonts w:hint="eastAsia" w:ascii="宋体" w:hAnsi="宋体"/>
          <w:bCs/>
          <w:color w:val="000000"/>
          <w:sz w:val="24"/>
          <w:highlight w:val="none"/>
          <w:lang w:val="en-US" w:eastAsia="zh-CN"/>
        </w:rPr>
        <w:t xml:space="preserve">交货</w:t>
      </w:r>
      <w:r>
        <w:rPr>
          <w:rFonts w:hint="eastAsia" w:ascii="宋体" w:hAnsi="宋体"/>
          <w:bCs/>
          <w:color w:val="000000"/>
          <w:sz w:val="24"/>
          <w:highlight w:val="none"/>
          <w:lang w:val="zh-CN"/>
        </w:rPr>
        <w:t xml:space="preserve">任务。</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000000"/>
          <w:sz w:val="24"/>
          <w:highlight w:val="none"/>
          <w:lang w:val="zh-CN"/>
        </w:rPr>
        <w:t xml:space="preserve">。</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机构恶意串通，决不向采购人、</w:t>
      </w:r>
      <w:r>
        <w:rPr>
          <w:rFonts w:hint="eastAsia" w:ascii="宋体" w:hAnsi="宋体"/>
          <w:bCs/>
          <w:color w:val="000000"/>
          <w:sz w:val="24"/>
          <w:szCs w:val="24"/>
          <w:highlight w:val="none"/>
          <w:lang w:val="en-US" w:eastAsia="zh-CN"/>
        </w:rPr>
        <w:t xml:space="preserve">采购代理</w:t>
      </w:r>
      <w:r>
        <w:rPr>
          <w:rFonts w:hint="eastAsia" w:ascii="宋体" w:hAnsi="宋体"/>
          <w:bCs/>
          <w:color w:val="000000"/>
          <w:sz w:val="24"/>
          <w:szCs w:val="24"/>
          <w:highlight w:val="none"/>
        </w:rPr>
        <w:t xml:space="preserve">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8"/>
        <w:gridCol w:w="4449"/>
      </w:tblGrid>
      <w:tr>
        <w:trPr>
          <w:jc w:val="center"/>
          <w:trHeight w:val="645"/>
        </w:trPr>
        <w:tc>
          <w:tcPr>
            <w:tcW w:w="4938"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449"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938"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449" w:type="dxa"/>
            <w:vAlign w:val="center"/>
            <w:textDirection w:val="lrTb"/>
            <w:noWrap w:val="false"/>
          </w:tcPr>
          <w:p>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注：没有请填无。</w:t>
      </w:r>
      <w:r/>
    </w:p>
    <w:p>
      <w:pPr>
        <w:numPr>
          <w:ilvl w:val="0"/>
          <w:numId w:val="12"/>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与本投标有关的一切正式往来函电，请联系：</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6"/>
      </w:tblGrid>
      <w:tr>
        <w:trPr>
          <w:jc w:val="center"/>
          <w:trHeight w:val="593"/>
        </w:trPr>
        <w:tc>
          <w:tcPr>
            <w:tcW w:w="1587" w:type="dxa"/>
            <w:vAlign w:val="center"/>
            <w:textDirection w:val="lrTb"/>
            <w:noWrap w:val="false"/>
          </w:tcPr>
          <w:p>
            <w:pPr>
              <w:jc w:val="center"/>
              <w:spacing w:line="24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593"/>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1"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22"/>
        </w:trPr>
        <w:tc>
          <w:tcPr>
            <w:tcW w:w="1587"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6" w:type="dxa"/>
            <w:vAlign w:val="center"/>
            <w:textDirection w:val="lrTb"/>
            <w:noWrap w:val="false"/>
          </w:tcPr>
          <w:p>
            <w:pPr>
              <w:jc w:val="cente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投标人（电子签章）：</w:t>
      </w:r>
      <w:r/>
    </w:p>
    <w:p>
      <w:pPr>
        <w:pStyle w:val="1069"/>
        <w:numPr>
          <w:ilvl w:val="0"/>
          <w:numId w:val="0"/>
        </w:numPr>
        <w:rPr>
          <w:rFonts w:hint="eastAsia"/>
          <w:highlight w:val="none"/>
        </w:rPr>
      </w:pPr>
      <w:r>
        <w:rPr>
          <w:rFonts w:ascii="黑体" w:hAnsi="宋体" w:eastAsia="黑体"/>
          <w:bCs/>
          <w:color w:val="000000"/>
          <w:sz w:val="24"/>
          <w:szCs w:val="24"/>
          <w:highlight w:val="none"/>
        </w:rPr>
        <w:br w:type="page" w:clear="all"/>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、明细报价表（格式）：</w:t>
      </w:r>
      <w:r/>
    </w:p>
    <w:p>
      <w:pPr>
        <w:jc w:val="center"/>
        <w:keepLines w:val="0"/>
        <w:keepNext w:val="0"/>
        <w:spacing w:line="360" w:lineRule="auto"/>
        <w:widowControl/>
        <w:rPr>
          <w:rStyle w:val="1083"/>
          <w:rFonts w:hint="eastAsia" w:ascii="宋体" w:hAnsi="宋体" w:eastAsia="宋体" w:cs="宋体"/>
          <w:b/>
          <w:bCs/>
          <w:i w:val="0"/>
          <w:iCs w:val="0"/>
          <w:sz w:val="24"/>
          <w:szCs w:val="24"/>
          <w:highlight w:val="none"/>
          <w:lang w:val="en-US" w:eastAsia="zh-CN" w:bidi="ar"/>
        </w:rPr>
        <w:suppressLineNumbers w:val="0"/>
      </w:pPr>
      <w:r/>
      <w:bookmarkStart w:id="131" w:name="OLE_LINK3"/>
      <w:r>
        <w:rPr>
          <w:rStyle w:val="1083"/>
          <w:rFonts w:hint="eastAsia" w:ascii="宋体" w:hAnsi="宋体" w:eastAsia="宋体" w:cs="宋体"/>
          <w:b/>
          <w:bCs/>
          <w:i w:val="0"/>
          <w:iCs w:val="0"/>
          <w:sz w:val="24"/>
          <w:szCs w:val="24"/>
          <w:highlight w:val="none"/>
          <w:lang w:val="en-US" w:eastAsia="zh-CN" w:bidi="ar"/>
        </w:rPr>
        <w:t xml:space="preserve">明细报价表</w:t>
      </w:r>
      <w:bookmarkEnd w:id="131"/>
      <w:r/>
      <w:r/>
    </w:p>
    <w:p>
      <w:pPr>
        <w:pStyle w:val="1098"/>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                         </w:t>
      </w:r>
      <w:r/>
    </w:p>
    <w:p>
      <w:pPr>
        <w:pStyle w:val="1098"/>
        <w:rPr>
          <w:rFonts w:hint="eastAsia" w:ascii="宋体" w:hAnsi="宋体"/>
          <w:sz w:val="24"/>
          <w:szCs w:val="24"/>
          <w:highlight w:val="none"/>
          <w:lang w:val="en-US" w:eastAsia="zh-CN"/>
        </w:rPr>
      </w:pPr>
      <w:r>
        <w:rPr>
          <w:rFonts w:hint="eastAsia" w:ascii="宋体" w:hAnsi="宋体"/>
          <w:color w:val="000000"/>
          <w:sz w:val="24"/>
          <w:szCs w:val="21"/>
          <w:highlight w:val="none"/>
          <w:lang w:val="zh-CN"/>
        </w:rPr>
        <w:t xml:space="preserve">项目编号：</w:t>
      </w:r>
      <w:r>
        <w:rPr>
          <w:rFonts w:hint="eastAsia" w:ascii="宋体" w:hAnsi="宋体"/>
          <w:sz w:val="24"/>
          <w:szCs w:val="24"/>
          <w:highlight w:val="none"/>
        </w:rPr>
        <w:t xml:space="preserve">              </w:t>
      </w:r>
      <w:r/>
    </w:p>
    <w:tbl>
      <w:tblPr>
        <w:tblStyle w:val="874"/>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958"/>
        <w:gridCol w:w="756"/>
        <w:gridCol w:w="799"/>
        <w:gridCol w:w="389"/>
        <w:gridCol w:w="316"/>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序号</w:t>
            </w:r>
            <w:r/>
          </w:p>
        </w:tc>
        <w:tc>
          <w:tcPr>
            <w:tcW w:w="1258"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货物名称</w:t>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品牌型号</w:t>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生产厂家</w:t>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质保期</w:t>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数量</w:t>
            </w:r>
            <w:r/>
          </w:p>
        </w:tc>
        <w:tc>
          <w:tcPr>
            <w:tcW w:w="854" w:type="dxa"/>
            <w:vAlign w:val="center"/>
            <w:textDirection w:val="lrTb"/>
            <w:noWrap w:val="false"/>
          </w:tcPr>
          <w:p>
            <w:pPr>
              <w:jc w:val="center"/>
              <w:spacing w:before="5"/>
              <w:rPr>
                <w:rFonts w:hint="eastAsia" w:eastAsia="宋体"/>
                <w:color w:val="auto"/>
                <w:sz w:val="24"/>
                <w:szCs w:val="24"/>
                <w:highlight w:val="none"/>
                <w:lang w:eastAsia="zh-CN"/>
              </w:rPr>
            </w:pPr>
            <w:r>
              <w:rPr>
                <w:rFonts w:hint="eastAsia"/>
                <w:color w:val="auto"/>
                <w:sz w:val="24"/>
                <w:szCs w:val="24"/>
                <w:highlight w:val="none"/>
                <w:lang w:val="en-US" w:eastAsia="zh-CN"/>
              </w:rPr>
              <w:t xml:space="preserve">单项报价</w:t>
            </w:r>
            <w:r/>
          </w:p>
          <w:p>
            <w:pPr>
              <w:jc w:val="center"/>
              <w:spacing w:before="5"/>
              <w:rPr>
                <w:rFonts w:hint="eastAsia"/>
                <w:color w:val="auto"/>
                <w:sz w:val="24"/>
                <w:szCs w:val="24"/>
                <w:highlight w:val="none"/>
              </w:rPr>
            </w:pPr>
            <w:r>
              <w:rPr>
                <w:rFonts w:hint="eastAsia" w:ascii="宋体" w:hAnsi="宋体"/>
                <w:color w:val="auto"/>
                <w:sz w:val="24"/>
                <w:szCs w:val="24"/>
                <w:highlight w:val="none"/>
              </w:rPr>
              <w:t xml:space="preserve">(元)</w:t>
            </w:r>
            <w:r/>
          </w:p>
        </w:tc>
        <w:tc>
          <w:tcPr>
            <w:tcW w:w="113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合计</w:t>
            </w:r>
            <w:r/>
          </w:p>
          <w:p>
            <w:pPr>
              <w:jc w:val="center"/>
              <w:spacing w:before="5"/>
              <w:rPr>
                <w:color w:val="auto"/>
                <w:sz w:val="24"/>
                <w:szCs w:val="24"/>
                <w:highlight w:val="none"/>
              </w:rPr>
            </w:pPr>
            <w:r>
              <w:rPr>
                <w:rFonts w:hint="eastAsia"/>
                <w:color w:val="auto"/>
                <w:sz w:val="24"/>
                <w:szCs w:val="24"/>
                <w:highlight w:val="none"/>
              </w:rPr>
              <w:t xml:space="preserve">报价</w:t>
            </w:r>
            <w:r/>
          </w:p>
          <w:p>
            <w:pPr>
              <w:jc w:val="center"/>
              <w:spacing w:before="5"/>
              <w:rPr>
                <w:rFonts w:hint="eastAsia"/>
                <w:color w:val="auto"/>
                <w:sz w:val="24"/>
                <w:szCs w:val="24"/>
                <w:highlight w:val="none"/>
              </w:rPr>
            </w:pPr>
            <w:r>
              <w:rPr>
                <w:rFonts w:hint="eastAsia" w:ascii="宋体" w:hAnsi="宋体"/>
                <w:color w:val="auto"/>
                <w:sz w:val="24"/>
                <w:szCs w:val="24"/>
                <w:highlight w:val="none"/>
              </w:rPr>
              <w:t xml:space="preserve">(元)</w:t>
            </w:r>
            <w:r/>
          </w:p>
        </w:tc>
        <w:tc>
          <w:tcPr>
            <w:tcW w:w="119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产品</w:t>
            </w:r>
            <w:r/>
          </w:p>
          <w:p>
            <w:pPr>
              <w:jc w:val="center"/>
              <w:spacing w:before="5"/>
              <w:rPr>
                <w:rFonts w:hint="eastAsia"/>
                <w:color w:val="auto"/>
                <w:sz w:val="24"/>
                <w:szCs w:val="24"/>
                <w:highlight w:val="none"/>
              </w:rPr>
            </w:pPr>
            <w:r>
              <w:rPr>
                <w:rFonts w:hint="eastAsia"/>
                <w:color w:val="auto"/>
                <w:sz w:val="24"/>
                <w:szCs w:val="24"/>
                <w:highlight w:val="none"/>
              </w:rPr>
              <w:t xml:space="preserve">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1</w:t>
            </w:r>
            <w:r/>
          </w:p>
        </w:tc>
        <w:tc>
          <w:tcPr>
            <w:tcW w:w="1258" w:type="dxa"/>
            <w:vAlign w:val="center"/>
            <w:textDirection w:val="lrTb"/>
            <w:noWrap w:val="false"/>
          </w:tcPr>
          <w:p>
            <w:pPr>
              <w:pStyle w:val="1101"/>
              <w:jc w:val="center"/>
              <w:spacing w:line="240" w:lineRule="atLeast"/>
              <w:rPr>
                <w:rFonts w:ascii="Calibri" w:hAnsi="Calibri"/>
                <w:color w:val="auto"/>
                <w:sz w:val="24"/>
                <w:szCs w:val="24"/>
                <w:highlight w:val="none"/>
              </w:rPr>
            </w:pPr>
            <w:r>
              <w:rPr>
                <w:rFonts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85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9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2</w:t>
            </w:r>
            <w:r/>
          </w:p>
        </w:tc>
        <w:tc>
          <w:tcPr>
            <w:tcW w:w="1258" w:type="dxa"/>
            <w:vAlign w:val="center"/>
            <w:textDirection w:val="lrTb"/>
            <w:noWrap w:val="false"/>
          </w:tcPr>
          <w:p>
            <w:pPr>
              <w:pStyle w:val="1101"/>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85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9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t xml:space="preserve">.....</w:t>
            </w:r>
            <w:r/>
          </w:p>
        </w:tc>
        <w:tc>
          <w:tcPr>
            <w:tcW w:w="1258" w:type="dxa"/>
            <w:vAlign w:val="center"/>
            <w:textDirection w:val="lrTb"/>
            <w:noWrap w:val="false"/>
          </w:tcPr>
          <w:p>
            <w:pPr>
              <w:pStyle w:val="1101"/>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85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9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258" w:type="dxa"/>
            <w:vAlign w:val="center"/>
            <w:textDirection w:val="lrTb"/>
            <w:noWrap w:val="false"/>
          </w:tcPr>
          <w:p>
            <w:pPr>
              <w:pStyle w:val="1101"/>
              <w:jc w:val="center"/>
              <w:spacing w:line="240" w:lineRule="atLeas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450"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171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799"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gridSpan w:val="2"/>
            <w:tcW w:w="705"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85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3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c>
          <w:tcPr>
            <w:tcW w:w="1194" w:type="dxa"/>
            <w:vAlign w:val="center"/>
            <w:textDirection w:val="lrTb"/>
            <w:noWrap w:val="false"/>
          </w:tcPr>
          <w:p>
            <w:pPr>
              <w:jc w:val="center"/>
              <w:spacing w:before="5"/>
              <w:rPr>
                <w:rFonts w:hint="eastAsia"/>
                <w:color w:val="auto"/>
                <w:sz w:val="24"/>
                <w:szCs w:val="24"/>
                <w:highlight w:val="none"/>
              </w:rPr>
            </w:pPr>
            <w:r>
              <w:rPr>
                <w:rFonts w:hint="eastAsia"/>
                <w:color w:val="auto"/>
                <w:sz w:val="24"/>
                <w:szCs w:val="24"/>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58" w:type="dxa"/>
            <w:vAlign w:val="center"/>
            <w:textDirection w:val="lrTb"/>
            <w:noWrap w:val="false"/>
          </w:tcPr>
          <w:p>
            <w:pPr>
              <w:pStyle w:val="1101"/>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258" w:type="dxa"/>
            <w:vAlign w:val="center"/>
            <w:textDirection w:val="lrTb"/>
            <w:noWrap w:val="false"/>
          </w:tcPr>
          <w:p>
            <w:pPr>
              <w:pStyle w:val="1101"/>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132" w:name="OLE_LINK148"/>
            <w:r>
              <w:rPr>
                <w:rFonts w:hint="eastAsia"/>
                <w:b/>
                <w:bCs/>
                <w:color w:val="auto"/>
                <w:sz w:val="24"/>
                <w:szCs w:val="24"/>
                <w:highlight w:val="none"/>
              </w:rPr>
              <w:t xml:space="preserve">合计总价</w:t>
            </w:r>
            <w:r>
              <w:rPr>
                <w:rFonts w:hint="eastAsia" w:ascii="Times New Roman" w:hAnsi="Times New Roman" w:eastAsia="宋体" w:cs="Times New Roman"/>
                <w:b/>
                <w:bCs/>
                <w:color w:val="auto"/>
                <w:sz w:val="24"/>
                <w:szCs w:val="24"/>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rPr>
                <w:rFonts w:hint="eastAsia"/>
                <w:b/>
                <w:bCs/>
                <w:color w:val="auto"/>
                <w:sz w:val="24"/>
                <w:szCs w:val="24"/>
                <w:highlight w:val="none"/>
              </w:rPr>
            </w:pPr>
            <w:r>
              <w:rPr>
                <w:rFonts w:hint="eastAsia" w:ascii="宋体"/>
                <w:b/>
                <w:bCs/>
                <w:color w:val="auto"/>
                <w:sz w:val="24"/>
                <w:szCs w:val="22"/>
                <w:highlight w:val="none"/>
              </w:rPr>
              <w:t xml:space="preserve">核心产品</w:t>
            </w:r>
            <w:r/>
          </w:p>
        </w:tc>
        <w:tc>
          <w:tcPr>
            <w:gridSpan w:val="2"/>
            <w:tcW w:w="2408" w:type="dxa"/>
            <w:vAlign w:val="center"/>
            <w:textDirection w:val="lrTb"/>
            <w:noWrap w:val="false"/>
          </w:tcPr>
          <w:p>
            <w:pPr>
              <w:jc w:val="left"/>
              <w:rPr>
                <w:rFonts w:hint="eastAsia"/>
                <w:color w:val="auto"/>
                <w:sz w:val="18"/>
                <w:highlight w:val="none"/>
              </w:rPr>
            </w:pPr>
            <w:r>
              <w:rPr>
                <w:rFonts w:hint="eastAsia"/>
                <w:color w:val="auto"/>
                <w:sz w:val="18"/>
                <w:highlight w:val="none"/>
              </w:rPr>
            </w:r>
            <w:r/>
          </w:p>
        </w:tc>
        <w:tc>
          <w:tcPr>
            <w:gridSpan w:val="3"/>
            <w:tcW w:w="1944" w:type="dxa"/>
            <w:vAlign w:val="center"/>
            <w:textDirection w:val="lrTb"/>
            <w:noWrap w:val="false"/>
          </w:tcPr>
          <w:p>
            <w:pPr>
              <w:rPr>
                <w:rFonts w:hint="eastAsia"/>
                <w:color w:val="auto"/>
                <w:sz w:val="18"/>
                <w:highlight w:val="none"/>
              </w:rPr>
            </w:pPr>
            <w:r>
              <w:rPr>
                <w:rFonts w:hint="eastAsia" w:ascii="宋体"/>
                <w:b/>
                <w:bCs/>
                <w:color w:val="auto"/>
                <w:sz w:val="24"/>
                <w:szCs w:val="22"/>
                <w:highlight w:val="none"/>
              </w:rPr>
              <w:t xml:space="preserve">序号：</w:t>
            </w:r>
            <w:r/>
          </w:p>
        </w:tc>
        <w:tc>
          <w:tcPr>
            <w:gridSpan w:val="5"/>
            <w:tcW w:w="3509" w:type="dxa"/>
            <w:vAlign w:val="center"/>
            <w:textDirection w:val="lrTb"/>
            <w:noWrap w:val="false"/>
          </w:tcPr>
          <w:p>
            <w:pPr>
              <w:rPr>
                <w:rFonts w:hint="eastAsia"/>
                <w:color w:val="auto"/>
                <w:sz w:val="18"/>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hAnsi="Times New Roman" w:eastAsia="宋体" w:cs="Times New Roman"/>
                <w:b/>
                <w:bCs/>
                <w:color w:val="auto"/>
                <w:sz w:val="24"/>
                <w:highlight w:val="none"/>
              </w:rPr>
              <w:t xml:space="preserve">合同签订之日起</w:t>
            </w:r>
            <w:r>
              <w:rPr>
                <w:rFonts w:hint="eastAsia" w:ascii="宋体" w:hAnsi="Times New Roman" w:eastAsia="宋体" w:cs="Times New Roman"/>
                <w:b/>
                <w:bCs/>
                <w:color w:val="auto"/>
                <w:sz w:val="24"/>
                <w:highlight w:val="none"/>
                <w:u w:val="single"/>
                <w:lang w:val="en-US" w:eastAsia="zh-CN"/>
              </w:rPr>
              <w:t xml:space="preserve">  </w:t>
            </w:r>
            <w:r>
              <w:rPr>
                <w:rFonts w:hint="eastAsia" w:ascii="宋体" w:hAnsi="Times New Roman" w:eastAsia="宋体" w:cs="Times New Roman"/>
                <w:b/>
                <w:bCs/>
                <w:color w:val="auto"/>
                <w:sz w:val="24"/>
                <w:highlight w:val="none"/>
              </w:rPr>
              <w:t xml:space="preserve">日内完成供货及安装。</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cantSplit/>
          <w:jc w:val="center"/>
          <w:trHeight w:val="2124"/>
        </w:trPr>
        <w:tc>
          <w:tcPr>
            <w:tcW w:w="652" w:type="dxa"/>
            <w:vAlign w:val="center"/>
            <w:vMerge w:val="restart"/>
            <w:textDirection w:val="lrTb"/>
            <w:noWrap w:val="false"/>
          </w:tcPr>
          <w:p>
            <w:pPr>
              <w:pStyle w:val="1102"/>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1102"/>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1102"/>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（以上是主要承诺，供投标人参考，投标人应在满足招标文件要求的基础上，根据自己单位的情况作出具体承诺）</w:t>
            </w:r>
            <w:bookmarkEnd w:id="132"/>
            <w:r/>
            <w:r/>
          </w:p>
        </w:tc>
      </w:tr>
    </w:tbl>
    <w:p>
      <w:pPr>
        <w:pStyle w:val="1069"/>
        <w:rPr>
          <w:rFonts w:hint="eastAsia"/>
          <w:highlight w:val="none"/>
          <w:lang w:eastAsia="zh-CN"/>
        </w:rPr>
      </w:pPr>
      <w:r>
        <w:rPr>
          <w:rFonts w:hint="eastAsia"/>
          <w:highlight w:val="none"/>
          <w:lang w:eastAsia="zh-CN"/>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bookmarkStart w:id="133" w:name="OLE_LINK149"/>
      <w:r>
        <w:rPr>
          <w:rFonts w:hint="eastAsia" w:ascii="宋体" w:hAnsi="宋体"/>
          <w:bCs/>
          <w:color w:val="000000"/>
          <w:sz w:val="24"/>
          <w:highlight w:val="none"/>
        </w:rPr>
        <w:t xml:space="preserve">                      投标人（电子签章）：</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注： </w:t>
      </w:r>
      <w:r/>
    </w:p>
    <w:p>
      <w:pPr>
        <w:ind w:firstLine="421"/>
        <w:jc w:val="left"/>
        <w:spacing w:line="360" w:lineRule="auto"/>
        <w:rPr>
          <w:rFonts w:ascii="宋体" w:hAnsi="宋体"/>
          <w:bCs/>
          <w:color w:val="000000"/>
          <w:szCs w:val="21"/>
          <w:highlight w:val="none"/>
        </w:rPr>
      </w:pPr>
      <w:r/>
      <w:bookmarkStart w:id="134" w:name="_Hlk151710206"/>
      <w:r>
        <w:rPr>
          <w:rFonts w:hint="eastAsia" w:ascii="宋体" w:hAnsi="宋体"/>
          <w:bCs/>
          <w:color w:val="000000"/>
          <w:szCs w:val="21"/>
          <w:highlight w:val="none"/>
        </w:rPr>
        <w:t xml:space="preserve">（1）投标人应当根据“第三章 项目技术要求和有关说明”的内容详细填写明细报价表，须包括本次采购的所有细项，表格不够可自行延长；</w:t>
      </w:r>
      <w:bookmarkStart w:id="135" w:name="_Hlk160007193"/>
      <w:r>
        <w:rPr>
          <w:rFonts w:hint="eastAsia" w:ascii="宋体" w:hAnsi="宋体"/>
          <w:bCs/>
          <w:color w:val="000000"/>
          <w:szCs w:val="21"/>
          <w:highlight w:val="none"/>
        </w:rPr>
        <w:t xml:space="preserve">上述单价为综合单价，包含提供货物的一切费用；如本表单价计算的结果与总价不一致，以单价为准修正总价。</w:t>
      </w:r>
      <w:bookmarkEnd w:id="135"/>
      <w:r/>
      <w:r/>
    </w:p>
    <w:p>
      <w:pPr>
        <w:ind w:firstLine="421"/>
        <w:jc w:val="left"/>
        <w:spacing w:line="360" w:lineRule="auto"/>
        <w:rPr>
          <w:rFonts w:hint="eastAsia" w:ascii="宋体" w:hAnsi="宋体"/>
          <w:bCs/>
          <w:color w:val="000000"/>
          <w:szCs w:val="21"/>
          <w:highlight w:val="none"/>
        </w:rPr>
      </w:pPr>
      <w:r/>
      <w:bookmarkStart w:id="136" w:name="_Hlk151708861"/>
      <w:r>
        <w:rPr>
          <w:rFonts w:hint="eastAsia" w:ascii="宋体" w:hAnsi="宋体"/>
          <w:bCs/>
          <w:color w:val="000000"/>
          <w:szCs w:val="21"/>
          <w:highlight w:val="none"/>
        </w:rPr>
        <w:t xml:space="preserve">（2）</w:t>
      </w:r>
      <w:r>
        <w:rPr>
          <w:rFonts w:hint="eastAsia" w:ascii="宋体" w:hAnsi="宋体"/>
          <w:bCs/>
          <w:color w:val="auto"/>
          <w:szCs w:val="21"/>
          <w:highlight w:val="none"/>
          <w:lang w:val="zh-CN"/>
        </w:rPr>
        <w:t xml:space="preserve">核心产品：</w:t>
      </w:r>
      <w:r>
        <w:rPr>
          <w:rFonts w:hint="eastAsia" w:ascii="宋体" w:hAnsi="宋体"/>
          <w:bCs/>
          <w:color w:val="auto"/>
          <w:szCs w:val="21"/>
          <w:highlight w:val="none"/>
        </w:rPr>
        <w:t xml:space="preserve">请投</w:t>
      </w:r>
      <w:r>
        <w:rPr>
          <w:rFonts w:hint="eastAsia" w:ascii="宋体" w:hAnsi="宋体"/>
          <w:color w:val="auto"/>
          <w:szCs w:val="21"/>
          <w:highlight w:val="none"/>
        </w:rPr>
        <w:t xml:space="preserve">标人在上表中详细填写核心产品所在明细报价表中的序号及品牌，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评审得分相同的，由采购人代表采用随机抽取方式确定一个投标人获得中标人推荐资格，其他同品牌投标人不作为中标候选人。</w:t>
      </w:r>
      <w:r/>
    </w:p>
    <w:p>
      <w:pPr>
        <w:ind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（3）政府采购优惠政策：</w:t>
      </w:r>
      <w:bookmarkStart w:id="137" w:name="_Hlk151708883"/>
      <w:r>
        <w:rPr>
          <w:rFonts w:hint="eastAsia" w:ascii="宋体" w:hAnsi="宋体"/>
          <w:bCs/>
          <w:color w:val="000000"/>
          <w:szCs w:val="21"/>
          <w:highlight w:val="none"/>
        </w:rPr>
        <w:t xml:space="preserve">若符合本项目小微企业报价扣除优惠政策的，投标人应在“产品类别”一栏中填入</w:t>
      </w:r>
      <w:r>
        <w:rPr>
          <w:rFonts w:hint="eastAsia" w:ascii="宋体" w:hAnsi="宋体"/>
          <w:bCs/>
          <w:color w:val="000000"/>
          <w:szCs w:val="21"/>
          <w:highlight w:val="none"/>
          <w:lang w:val="zh-CN"/>
        </w:rPr>
        <w:t xml:space="preserve">小微企业产品、残疾人福利性单位产品或监狱企业产品</w:t>
      </w:r>
      <w:r>
        <w:rPr>
          <w:rFonts w:hint="eastAsia" w:ascii="宋体" w:hAnsi="宋体"/>
          <w:color w:val="000000"/>
          <w:szCs w:val="21"/>
          <w:highlight w:val="none"/>
          <w:lang w:val="zh-CN"/>
        </w:rPr>
        <w:t xml:space="preserve">，</w:t>
      </w:r>
      <w:r>
        <w:rPr>
          <w:rFonts w:hint="eastAsia" w:ascii="宋体" w:hAnsi="宋体"/>
          <w:bCs/>
          <w:color w:val="000000"/>
          <w:szCs w:val="21"/>
          <w:highlight w:val="none"/>
          <w:lang w:val="zh-CN"/>
        </w:rPr>
        <w:t xml:space="preserve">价格扣除比例（如有）详见“投标邀请函”；</w:t>
      </w:r>
      <w:r>
        <w:rPr>
          <w:rFonts w:hint="eastAsia" w:ascii="宋体" w:hAnsi="宋体"/>
          <w:bCs/>
          <w:color w:val="000000"/>
          <w:szCs w:val="21"/>
          <w:highlight w:val="none"/>
        </w:rPr>
        <w:t xml:space="preserve">若不符合本项目政府采购优惠政策的，无需填写“产品类别”。</w:t>
      </w:r>
      <w:bookmarkEnd w:id="134"/>
      <w:r/>
      <w:bookmarkEnd w:id="136"/>
      <w:r/>
      <w:bookmarkEnd w:id="137"/>
      <w:r/>
      <w:r/>
    </w:p>
    <w:p>
      <w:pPr>
        <w:ind w:firstLine="421"/>
        <w:jc w:val="left"/>
        <w:spacing w:line="360" w:lineRule="auto"/>
        <w:rPr>
          <w:rFonts w:ascii="宋体" w:hAnsi="宋体"/>
          <w:bCs/>
          <w:color w:val="000000"/>
          <w:szCs w:val="21"/>
          <w:highlight w:val="none"/>
        </w:rPr>
      </w:pPr>
      <w:r/>
      <w:bookmarkStart w:id="138" w:name="_Hlk162944129"/>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）若享受本项目政府采购相关优惠政策的，投标人必须按照本章“（四）报价折扣文件”要求提供相关证明材料，以提供的有效证明材料为准，否则不享受相关优惠。</w:t>
      </w:r>
      <w:bookmarkEnd w:id="138"/>
      <w:r/>
      <w:r/>
    </w:p>
    <w:p>
      <w:pPr>
        <w:ind w:firstLine="421"/>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）若本项目含有政府采购强制采购产品的，投标人必须按照本章“（四）报价折扣文件”提供</w:t>
      </w:r>
      <w:bookmarkStart w:id="139" w:name="_Hlk163827407"/>
      <w:r>
        <w:rPr>
          <w:rFonts w:hint="eastAsia" w:ascii="宋体" w:hAnsi="宋体"/>
          <w:bCs/>
          <w:color w:val="000000"/>
          <w:szCs w:val="21"/>
          <w:highlight w:val="none"/>
        </w:rPr>
        <w:t xml:space="preserve">有效</w:t>
      </w:r>
      <w:bookmarkEnd w:id="139"/>
      <w:r>
        <w:rPr>
          <w:rFonts w:hint="eastAsia" w:ascii="宋体" w:hAnsi="宋体"/>
          <w:bCs/>
          <w:color w:val="000000"/>
          <w:szCs w:val="21"/>
          <w:highlight w:val="none"/>
        </w:rPr>
        <w:t xml:space="preserve">证明材料，否则投标无效，详见投标人须知相关要求。</w:t>
      </w:r>
      <w:r/>
    </w:p>
    <w:p>
      <w:pPr>
        <w:numPr>
          <w:ilvl w:val="0"/>
          <w:numId w:val="0"/>
        </w:numPr>
        <w:ind w:left="422"/>
        <w:jc w:val="left"/>
        <w:spacing w:line="360" w:lineRule="auto"/>
        <w:rPr>
          <w:rFonts w:hint="eastAsia" w:ascii="宋体" w:hAnsi="宋体"/>
          <w:b/>
          <w:bCs w:val="0"/>
          <w:szCs w:val="21"/>
          <w:highlight w:val="none"/>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lang w:eastAsia="zh-CN"/>
        </w:rPr>
        <w:t xml:space="preserve">）</w:t>
      </w: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合计报价</w:t>
      </w: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不得超过“第三章 项目技术要求和有关说明”中清单中的单项限价，合计总价不得超过本项目最高限价，若存在漏项或超限价的情况，将作无效报价处理。</w:t>
      </w:r>
      <w:r/>
    </w:p>
    <w:p>
      <w:pPr>
        <w:ind w:firstLine="421"/>
        <w:jc w:val="left"/>
        <w:spacing w:line="360" w:lineRule="auto"/>
        <w:rPr>
          <w:rFonts w:hint="eastAsia" w:ascii="宋体" w:hAnsi="宋体" w:eastAsia="宋体"/>
          <w:bCs/>
          <w:color w:val="000000"/>
          <w:szCs w:val="21"/>
          <w:highlight w:val="none"/>
          <w:lang w:eastAsia="zh-CN"/>
        </w:rPr>
      </w:pPr>
      <w:r>
        <w:rPr>
          <w:rFonts w:hint="eastAsia" w:ascii="宋体" w:hAnsi="宋体" w:eastAsia="宋体"/>
          <w:bCs/>
          <w:color w:val="000000"/>
          <w:szCs w:val="21"/>
          <w:highlight w:val="none"/>
          <w:lang w:eastAsia="zh-CN"/>
        </w:rPr>
      </w:r>
      <w:bookmarkEnd w:id="133"/>
      <w:r/>
      <w:r/>
    </w:p>
    <w:p>
      <w:pPr>
        <w:pStyle w:val="1053"/>
        <w:numPr>
          <w:ilvl w:val="0"/>
          <w:numId w:val="0"/>
        </w:numPr>
        <w:rPr>
          <w:rFonts w:hint="eastAsia"/>
          <w:highlight w:val="none"/>
        </w:rPr>
      </w:pPr>
      <w:r>
        <w:rPr>
          <w:rFonts w:hint="eastAsia"/>
          <w:highlight w:val="none"/>
        </w:rPr>
      </w:r>
      <w:r/>
    </w:p>
    <w:p>
      <w:pPr>
        <w:ind w:firstLine="560"/>
        <w:rPr>
          <w:rFonts w:ascii="黑体" w:hAnsi="宋体" w:eastAsia="黑体"/>
          <w:bCs/>
          <w:color w:val="000000"/>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ascii="黑体" w:hAnsi="宋体" w:eastAsia="黑体"/>
          <w:bCs/>
          <w:color w:val="000000"/>
          <w:sz w:val="24"/>
          <w:szCs w:val="24"/>
          <w:highlight w:val="none"/>
        </w:rPr>
      </w:r>
      <w:r/>
    </w:p>
    <w:p>
      <w:pPr>
        <w:pStyle w:val="1097"/>
        <w:ind w:firstLine="480"/>
        <w:rPr>
          <w:rFonts w:hint="eastAsia" w:ascii="黑体" w:hAnsi="宋体" w:eastAsia="黑体"/>
          <w:bCs/>
          <w:color w:val="000000"/>
          <w:sz w:val="24"/>
          <w:szCs w:val="24"/>
          <w:highlight w:val="none"/>
          <w:lang w:val="zh-CN"/>
        </w:rPr>
      </w:pP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项目技术要求偏离表</w:t>
      </w:r>
      <w:r/>
    </w:p>
    <w:p>
      <w:pPr>
        <w:pStyle w:val="1098"/>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                         </w:t>
      </w:r>
      <w:r/>
    </w:p>
    <w:p>
      <w:pPr>
        <w:pStyle w:val="1098"/>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ind w:left="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rPr>
        <w:t xml:space="preserve">（2）招标文件第三章“项目技术要求和有关说明”中若有要求提供相关证明材料的，</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jc w:val="lef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br w:type="page" w:clear="all"/>
      </w:r>
      <w:r/>
    </w:p>
    <w:p>
      <w:pPr>
        <w:spacing w:after="156"/>
        <w:rPr>
          <w:rFonts w:hint="eastAsia" w:ascii="黑体" w:hAnsi="宋体" w:eastAsia="黑体" w:cs="Times New Roman"/>
          <w:bCs/>
          <w:color w:val="000000"/>
          <w:sz w:val="28"/>
          <w:szCs w:val="28"/>
          <w:highlight w:val="none"/>
          <w:lang w:eastAsia="zh-CN"/>
        </w:rPr>
      </w:pPr>
      <w:r>
        <w:rPr>
          <w:rFonts w:hint="eastAsia" w:ascii="黑体" w:hAnsi="宋体" w:eastAsia="黑体" w:cs="Times New Roman"/>
          <w:bCs/>
          <w:color w:val="000000"/>
          <w:sz w:val="28"/>
          <w:szCs w:val="28"/>
          <w:highlight w:val="none"/>
        </w:rPr>
        <w:t xml:space="preserve">（四）</w:t>
      </w:r>
      <w:r>
        <w:rPr>
          <w:rFonts w:hint="eastAsia" w:ascii="黑体" w:hAnsi="宋体" w:eastAsia="黑体" w:cs="Times New Roman"/>
          <w:bCs/>
          <w:color w:val="000000"/>
          <w:sz w:val="28"/>
          <w:szCs w:val="28"/>
          <w:highlight w:val="none"/>
          <w:lang w:val="en-US" w:eastAsia="zh-CN"/>
        </w:rPr>
        <w:t xml:space="preserve">价格</w:t>
      </w:r>
      <w:r>
        <w:rPr>
          <w:rFonts w:hint="eastAsia" w:ascii="黑体" w:hAnsi="宋体" w:eastAsia="黑体" w:cs="Times New Roman"/>
          <w:bCs/>
          <w:color w:val="000000"/>
          <w:sz w:val="28"/>
          <w:szCs w:val="28"/>
          <w:highlight w:val="none"/>
        </w:rPr>
        <w:t xml:space="preserve">折扣</w:t>
      </w:r>
      <w:bookmarkStart w:id="140" w:name="_Hlk131928636"/>
      <w:r>
        <w:rPr>
          <w:rFonts w:hint="eastAsia" w:ascii="黑体" w:hAnsi="宋体" w:eastAsia="黑体" w:cs="Times New Roman"/>
          <w:bCs/>
          <w:color w:val="000000"/>
          <w:sz w:val="28"/>
          <w:szCs w:val="28"/>
          <w:highlight w:val="none"/>
          <w:lang w:val="en-US" w:eastAsia="zh-CN"/>
        </w:rPr>
        <w:t xml:space="preserve">文件</w:t>
      </w:r>
      <w:r/>
    </w:p>
    <w:p>
      <w:pPr>
        <w:ind w:firstLine="480"/>
        <w:jc w:val="left"/>
        <w:spacing w:line="360" w:lineRule="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t xml:space="preserve">1</w:t>
      </w:r>
      <w:r>
        <w:rPr>
          <w:rFonts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企业报价折扣证明</w:t>
      </w:r>
      <w:r/>
    </w:p>
    <w:tbl>
      <w:tblPr>
        <w:tblStyle w:val="874"/>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465"/>
        <w:gridCol w:w="2477"/>
        <w:gridCol w:w="4317"/>
      </w:tblGrid>
      <w:tr>
        <w:trPr>
          <w:jc w:val="center"/>
          <w:trHeight w:val="864"/>
        </w:trPr>
        <w:tc>
          <w:tcPr>
            <w:tcW w:w="819"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5"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317"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1285"/>
        </w:trPr>
        <w:tc>
          <w:tcPr>
            <w:tcW w:w="819"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465"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317" w:type="dxa"/>
            <w:vAlign w:val="center"/>
            <w:textDirection w:val="lrTb"/>
            <w:noWrap w:val="false"/>
          </w:tcPr>
          <w:p>
            <w:pPr>
              <w:jc w:val="left"/>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873"/>
        </w:trPr>
        <w:tc>
          <w:tcPr>
            <w:tcW w:w="819"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2</w:t>
            </w:r>
            <w:r/>
          </w:p>
        </w:tc>
        <w:tc>
          <w:tcPr>
            <w:tcW w:w="1465"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77" w:type="dxa"/>
            <w:vAlign w:val="center"/>
            <w:textDirection w:val="lrTb"/>
            <w:noWrap w:val="false"/>
          </w:tcPr>
          <w:p>
            <w:pPr>
              <w:jc w:val="center"/>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317" w:type="dxa"/>
            <w:vAlign w:val="center"/>
            <w:textDirection w:val="lrTb"/>
            <w:noWrap w:val="false"/>
          </w:tcPr>
          <w:p>
            <w:pPr>
              <w:jc w:val="left"/>
              <w:spacing w:line="24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873"/>
        </w:trPr>
        <w:tc>
          <w:tcPr>
            <w:tcW w:w="819"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color w:val="auto"/>
                <w:szCs w:val="21"/>
                <w:highlight w:val="none"/>
              </w:rPr>
              <w:t xml:space="preserve">3</w:t>
            </w:r>
            <w:r/>
          </w:p>
        </w:tc>
        <w:tc>
          <w:tcPr>
            <w:tcW w:w="1465"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317" w:type="dxa"/>
            <w:vAlign w:val="center"/>
            <w:textDirection w:val="lrTb"/>
            <w:noWrap w:val="false"/>
          </w:tcPr>
          <w:p>
            <w:pPr>
              <w:jc w:val="left"/>
              <w:spacing w:line="240" w:lineRule="auto"/>
              <w:rPr>
                <w:rFonts w:hint="eastAsia" w:ascii="宋体" w:hAnsi="宋体" w:cs="宋体"/>
                <w:bCs/>
                <w:color w:val="auto"/>
                <w:szCs w:val="21"/>
                <w:highlight w:val="none"/>
              </w:rPr>
            </w:pPr>
            <w:r/>
            <w:bookmarkStart w:id="141" w:name="OLE_LINK72"/>
            <w:r>
              <w:rPr>
                <w:rFonts w:hint="eastAsia" w:ascii="宋体" w:hAnsi="宋体" w:cs="宋体"/>
                <w:bCs/>
                <w:color w:val="auto"/>
                <w:szCs w:val="21"/>
                <w:highlight w:val="none"/>
              </w:rPr>
              <w:t xml:space="preserve">《中小企业声明函》</w:t>
            </w:r>
            <w:bookmarkEnd w:id="141"/>
            <w:r/>
            <w:bookmarkStart w:id="142" w:name="OLE_LINK65"/>
            <w:r>
              <w:rPr>
                <w:rFonts w:hint="eastAsia" w:ascii="宋体" w:hAnsi="宋体" w:cs="宋体"/>
                <w:bCs/>
                <w:color w:val="auto"/>
                <w:szCs w:val="21"/>
                <w:highlight w:val="none"/>
              </w:rPr>
              <w:t xml:space="preserve">（格式见附件1）</w:t>
            </w:r>
            <w:bookmarkEnd w:id="142"/>
            <w:r/>
            <w:r/>
          </w:p>
        </w:tc>
      </w:tr>
      <w:tr>
        <w:trPr>
          <w:jc w:val="center"/>
          <w:trHeight w:val="873"/>
        </w:trPr>
        <w:tc>
          <w:tcPr>
            <w:tcW w:w="819"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4</w:t>
            </w:r>
            <w:r/>
          </w:p>
        </w:tc>
        <w:tc>
          <w:tcPr>
            <w:tcW w:w="1465"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317" w:type="dxa"/>
            <w:vAlign w:val="center"/>
            <w:textDirection w:val="lrTb"/>
            <w:noWrap w:val="false"/>
          </w:tcPr>
          <w:p>
            <w:pPr>
              <w:jc w:val="left"/>
              <w:spacing w:line="240" w:lineRule="auto"/>
              <w:rPr>
                <w:rFonts w:hint="eastAsia" w:ascii="宋体" w:hAnsi="宋体" w:cs="宋体"/>
                <w:bCs/>
                <w:color w:val="auto"/>
                <w:szCs w:val="21"/>
                <w:highlight w:val="none"/>
              </w:rPr>
            </w:pPr>
            <w:r/>
            <w:bookmarkStart w:id="143" w:name="OLE_LINK73"/>
            <w:r>
              <w:rPr>
                <w:rFonts w:hint="eastAsia" w:ascii="宋体" w:hAnsi="宋体" w:cs="宋体"/>
                <w:bCs/>
                <w:color w:val="auto"/>
                <w:szCs w:val="21"/>
                <w:highlight w:val="none"/>
              </w:rPr>
              <w:t xml:space="preserve">《残疾人福利性单位声明函》</w:t>
            </w:r>
            <w:bookmarkEnd w:id="143"/>
            <w:r>
              <w:rPr>
                <w:rFonts w:hint="eastAsia" w:ascii="宋体" w:hAnsi="宋体" w:cs="宋体"/>
                <w:bCs/>
                <w:color w:val="auto"/>
                <w:szCs w:val="21"/>
                <w:highlight w:val="none"/>
              </w:rPr>
              <w:t xml:space="preserve">（格式见附件2）</w:t>
            </w:r>
            <w:r/>
          </w:p>
        </w:tc>
      </w:tr>
      <w:tr>
        <w:trPr>
          <w:jc w:val="center"/>
          <w:trHeight w:val="1091"/>
        </w:trPr>
        <w:tc>
          <w:tcPr>
            <w:tcW w:w="819" w:type="dxa"/>
            <w:vAlign w:val="center"/>
            <w:textDirection w:val="lrTb"/>
            <w:noWrap w:val="false"/>
          </w:tcPr>
          <w:p>
            <w:pPr>
              <w:jc w:val="center"/>
              <w:spacing w:line="24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465"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77" w:type="dxa"/>
            <w:vAlign w:val="center"/>
            <w:textDirection w:val="lrTb"/>
            <w:noWrap w:val="false"/>
          </w:tcPr>
          <w:p>
            <w:pPr>
              <w:jc w:val="center"/>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317" w:type="dxa"/>
            <w:vAlign w:val="center"/>
            <w:textDirection w:val="lrTb"/>
            <w:noWrap w:val="false"/>
          </w:tcPr>
          <w:p>
            <w:pPr>
              <w:jc w:val="left"/>
              <w:spacing w:line="24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pStyle w:val="1098"/>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jc w:val="left"/>
        <w:spacing w:line="240" w:lineRule="atLeast"/>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注：</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1、投标人根据招标文件要求提供相关证明材料（如有），以提供的有效证明材料为准 。</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2、如本项目含有强制采购产品，必须提供相关证明材料，否则投标无效。</w:t>
      </w:r>
      <w:r/>
    </w:p>
    <w:p>
      <w:pPr>
        <w:ind w:left="0" w:firstLine="422"/>
        <w:jc w:val="left"/>
        <w:spacing w:line="240" w:lineRule="atLeas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3、如本项目给予报价扣除优惠，须提供相关证明材料，否则不享受报价扣除优惠。</w:t>
      </w:r>
      <w:r/>
    </w:p>
    <w:p>
      <w:pPr>
        <w:ind w:left="0" w:firstLine="422"/>
        <w:jc w:val="left"/>
        <w:spacing w:line="240" w:lineRule="atLeas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相关证明材料请附在本表之后，若不享受政府采购政策优惠，附件</w:t>
      </w:r>
      <w:r>
        <w:rPr>
          <w:rFonts w:hint="eastAsia" w:ascii="宋体" w:hAnsi="宋体" w:cs="宋体"/>
          <w:b/>
          <w:bCs/>
          <w:color w:val="000000"/>
          <w:szCs w:val="21"/>
          <w:highlight w:val="none"/>
        </w:rPr>
        <w:t xml:space="preserve">1-附件</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可自行删除</w:t>
      </w:r>
      <w:r>
        <w:rPr>
          <w:rFonts w:hint="eastAsia" w:ascii="宋体" w:hAnsi="宋体" w:cs="宋体"/>
          <w:b/>
          <w:bCs/>
          <w:color w:val="000000"/>
          <w:szCs w:val="21"/>
          <w:highlight w:val="none"/>
          <w:lang w:val="zh-CN"/>
        </w:rPr>
        <w:t xml:space="preserve">；</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7"/>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pStyle w:val="1098"/>
        <w:rPr>
          <w:color w:val="000000"/>
          <w:highlight w:val="none"/>
        </w:rPr>
      </w:pPr>
      <w:r>
        <w:rPr>
          <w:color w:val="000000"/>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附件1：中小企业声明函（格式）：</w:t>
      </w:r>
      <w:bookmarkEnd w:id="140"/>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中小企业声明函</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sz w:val="24"/>
          <w:szCs w:val="24"/>
          <w:highlight w:val="none"/>
          <w:u w:val="single"/>
        </w:rPr>
        <w:t xml:space="preserve">（单位名称）</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（项目名称）</w:t>
      </w:r>
      <w:r>
        <w:rPr>
          <w:rFonts w:hint="eastAsia"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以上企业，不属于大企业的分支机构，不存在控股股东为大企业的情形，也不存在与大企业的负责人为同一人的情形。</w:t>
      </w:r>
      <w:r/>
    </w:p>
    <w:p>
      <w:pPr>
        <w:ind w:left="5680" w:right="960" w:hanging="526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本企业对上述声明内容的真实性负责。如有虚假，将依法承担相应责任。</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p>
    <w:p>
      <w:pPr>
        <w:ind w:left="5460" w:hanging="5460"/>
        <w:jc w:val="left"/>
        <w:spacing w:before="156"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000000"/>
          <w:szCs w:val="21"/>
          <w:highlight w:val="none"/>
        </w:rPr>
      </w:pPr>
      <w:r>
        <w:rPr>
          <w:rFonts w:hint="eastAsia" w:ascii="宋体" w:hAnsi="宋体"/>
          <w:bCs/>
          <w:color w:val="000000"/>
          <w:szCs w:val="21"/>
          <w:highlight w:val="none"/>
        </w:rPr>
        <w:t xml:space="preserve">（2）供应商按照本办法规定提供声明函内容不实的，属于提供虚假材料谋取</w:t>
      </w:r>
      <w:r>
        <w:rPr>
          <w:rFonts w:hint="eastAsia" w:ascii="宋体" w:hAnsi="宋体"/>
          <w:bCs/>
          <w:color w:val="000000"/>
          <w:szCs w:val="21"/>
          <w:highlight w:val="none"/>
          <w:lang w:eastAsia="zh-CN"/>
        </w:rPr>
        <w:t xml:space="preserve">中标</w:t>
      </w:r>
      <w:r>
        <w:rPr>
          <w:rFonts w:hint="eastAsia" w:ascii="宋体" w:hAnsi="宋体"/>
          <w:bCs/>
          <w:color w:val="000000"/>
          <w:szCs w:val="21"/>
          <w:highlight w:val="none"/>
        </w:rPr>
        <w:t xml:space="preserve">，依照《中华人民共和国政府采购法》等国家有关规定追究相应责任。</w:t>
      </w:r>
      <w:r/>
    </w:p>
    <w:p>
      <w:pPr>
        <w:ind w:firstLine="421"/>
        <w:spacing w:line="360" w:lineRule="auto"/>
        <w:rPr>
          <w:rFonts w:hint="eastAsia" w:ascii="宋体" w:hAnsi="宋体"/>
          <w:color w:val="000000"/>
          <w:szCs w:val="21"/>
          <w:highlight w:val="none"/>
          <w:lang w:val="zh-CN"/>
        </w:rPr>
      </w:pPr>
      <w:r/>
      <w:bookmarkStart w:id="144" w:name="_Hlk131935698"/>
      <w:r>
        <w:rPr>
          <w:rFonts w:hint="eastAsia" w:ascii="宋体" w:hAnsi="宋体"/>
          <w:color w:val="000000"/>
          <w:szCs w:val="21"/>
          <w:highlight w:val="none"/>
          <w:lang w:val="zh-CN"/>
        </w:rPr>
        <w:t xml:space="preserve">（3）中标供应商《中小企业声明函》、《残疾人福利性单位声明函》，采购人将随中标公告一并公示。</w:t>
      </w:r>
      <w:bookmarkEnd w:id="144"/>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pStyle w:val="1098"/>
        <w:rPr>
          <w:rFonts w:hint="eastAsia"/>
          <w:color w:val="000000"/>
          <w:highlight w:val="none"/>
        </w:rPr>
      </w:pPr>
      <w:r>
        <w:rPr>
          <w:rFonts w:hint="eastAsia" w:ascii="黑体" w:hAnsi="宋体" w:eastAsia="黑体"/>
          <w:bCs/>
          <w:color w:val="000000"/>
          <w:sz w:val="24"/>
          <w:szCs w:val="24"/>
          <w:highlight w:val="none"/>
        </w:rPr>
        <w:t xml:space="preserve">附件2：残疾人福利性单位声明函（格式）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7"/>
        <w:rPr>
          <w:rFonts w:hint="eastAsia"/>
          <w:color w:val="000000"/>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p>
    <w:p>
      <w:pPr>
        <w:spacing w:line="360" w:lineRule="auto"/>
        <w:rPr>
          <w:rFonts w:ascii="宋体"/>
          <w:bCs/>
          <w:color w:val="000000"/>
          <w:sz w:val="24"/>
          <w:szCs w:val="24"/>
          <w:highlight w:val="none"/>
        </w:rPr>
      </w:pPr>
      <w:r>
        <w:rPr>
          <w:rFonts w:ascii="宋体"/>
          <w:bCs/>
          <w:color w:val="000000"/>
          <w:sz w:val="24"/>
          <w:szCs w:val="24"/>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hint="eastAsia" w:ascii="宋体" w:hAnsi="宋体"/>
          <w:color w:val="000000"/>
          <w:sz w:val="24"/>
          <w:szCs w:val="21"/>
          <w:highlight w:val="none"/>
        </w:rPr>
      </w:pPr>
      <w:r>
        <w:rPr>
          <w:rFonts w:hint="eastAsia"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ascii="宋体" w:hAnsi="宋体"/>
          <w:color w:val="000000"/>
          <w:sz w:val="24"/>
          <w:szCs w:val="21"/>
          <w:highlight w:val="none"/>
        </w:rPr>
      </w:pPr>
      <w:r>
        <w:rPr>
          <w:rFonts w:ascii="宋体" w:hAnsi="宋体"/>
          <w:color w:val="000000"/>
          <w:sz w:val="24"/>
          <w:szCs w:val="21"/>
          <w:highlight w:val="none"/>
        </w:rPr>
      </w:r>
      <w:r/>
    </w:p>
    <w:p>
      <w:pPr>
        <w:pStyle w:val="1098"/>
        <w:ind w:firstLine="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spacing w:after="156"/>
        <w:rPr>
          <w:rFonts w:hint="eastAsia" w:ascii="黑体" w:hAnsi="宋体" w:eastAsia="黑体"/>
          <w:bCs/>
          <w:color w:val="000000"/>
          <w:sz w:val="28"/>
          <w:szCs w:val="28"/>
          <w:highlight w:val="none"/>
        </w:rPr>
      </w:pPr>
      <w:r/>
      <w:bookmarkStart w:id="145" w:name="_Hlk151456734"/>
      <w:r/>
      <w:r/>
    </w:p>
    <w:p>
      <w:pPr>
        <w:spacing w:after="156"/>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145"/>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440" w:right="1078" w:bottom="1440" w:left="116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2735" cy="208915"/>
              <wp:effectExtent l="3175" t="3175" r="3175" b="3175"/>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292774" cy="20899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jc w:val="center"/>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3.0pt;height:16.4pt;mso-wrap-distance-left:9.0pt;mso-wrap-distance-top:0.0pt;mso-wrap-distance-right:9.0pt;mso-wrap-distance-bottom:0.0pt;v-text-anchor:top;visibility:visible;" filled="f" stroked="f" strokeweight="0.50pt">
              <v:textbox inset="0,0,0,0">
                <w:txbxContent>
                  <w:p>
                    <w:pPr>
                      <w:pStyle w:val="884"/>
                      <w:jc w:val="center"/>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11785" cy="218440"/>
              <wp:effectExtent l="3175" t="3175" r="3175" b="3175"/>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11824" cy="2185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4.5pt;height:17.2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4660" cy="33274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454699" cy="3328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5.8pt;height:26.2pt;mso-wrap-distance-left:9.0pt;mso-wrap-distance-top:0.0pt;mso-wrap-distance-right:9.0pt;mso-wrap-distance-bottom:0.0pt;v-text-anchor:top;visibility:visible;" filled="f" stroked="f" strokeweight="0.50pt">
              <v:textbox inset="0,0,0,0">
                <w:txbxContent>
                  <w:p>
                    <w:pPr>
                      <w:pStyle w:val="884"/>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6535" cy="153035"/>
              <wp:effectExtent l="3175" t="3175" r="3175" b="3175"/>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21657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7.1pt;height:12.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left" w:pos="2689" w:leader="none"/>
      </w:tabs>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1"/>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5"/>
  </w:num>
  <w:num w:numId="3">
    <w:abstractNumId w:val="10"/>
  </w:num>
  <w:num w:numId="4">
    <w:abstractNumId w:val="2"/>
  </w:num>
  <w:num w:numId="5">
    <w:abstractNumId w:val="1"/>
  </w:num>
  <w:num w:numId="6">
    <w:abstractNumId w:val="8"/>
  </w:num>
  <w:num w:numId="7">
    <w:abstractNumId w:val="9"/>
  </w:num>
  <w:num w:numId="8">
    <w:abstractNumId w:val="11"/>
  </w:num>
  <w:num w:numId="9">
    <w:abstractNumId w:val="0"/>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link w:val="1103"/>
    <w:uiPriority w:val="0"/>
    <w:qFormat/>
    <w:pPr>
      <w:jc w:val="both"/>
      <w:widowControl w:val="off"/>
    </w:pPr>
    <w:rPr>
      <w:rFonts w:hint="default" w:ascii="Times New Roman" w:hAnsi="Times New Roman" w:eastAsia="宋体" w:cs="Times New Roman"/>
      <w:sz w:val="21"/>
      <w:lang w:val="en-US" w:eastAsia="zh-CN" w:bidi="ar-SA"/>
    </w:rPr>
  </w:style>
  <w:style w:type="paragraph" w:styleId="864">
    <w:name w:val="Heading 1"/>
    <w:basedOn w:val="863"/>
    <w:next w:val="863"/>
    <w:link w:val="902"/>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03"/>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04"/>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05"/>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06"/>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07"/>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09"/>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10"/>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right="0" w:firstLine="0"/>
      <w:spacing w:after="57"/>
    </w:pPr>
  </w:style>
  <w:style w:type="paragraph" w:styleId="876">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3"/>
    <w:uiPriority w:val="99"/>
    <w:semiHidden/>
    <w:unhideWhenUsed/>
    <w:qFormat/>
    <w:pPr>
      <w:jc w:val="left"/>
    </w:pPr>
  </w:style>
  <w:style w:type="paragraph" w:styleId="878">
    <w:name w:val="Body Text"/>
    <w:basedOn w:val="863"/>
    <w:uiPriority w:val="0"/>
    <w:qFormat/>
    <w:rPr>
      <w:rFonts w:cs="Times New Roman"/>
      <w:sz w:val="20"/>
      <w:szCs w:val="20"/>
    </w:rPr>
  </w:style>
  <w:style w:type="paragraph" w:styleId="879">
    <w:name w:val="Body Text Indent"/>
    <w:basedOn w:val="863"/>
    <w:uiPriority w:val="0"/>
    <w:qFormat/>
    <w:pPr>
      <w:ind w:left="420" w:firstLine="1124"/>
      <w:spacing w:after="120" w:line="360" w:lineRule="auto"/>
    </w:pPr>
    <w:rPr>
      <w:rFonts w:ascii="Calibri" w:hAnsi="Calibri"/>
      <w:sz w:val="24"/>
      <w:szCs w:val="24"/>
    </w:rPr>
  </w:style>
  <w:style w:type="paragraph" w:styleId="880">
    <w:name w:val="toc 5"/>
    <w:basedOn w:val="863"/>
    <w:next w:val="863"/>
    <w:uiPriority w:val="39"/>
    <w:unhideWhenUsed/>
    <w:qFormat/>
    <w:pPr>
      <w:ind w:left="1134" w:right="0" w:firstLine="0"/>
      <w:spacing w:after="57"/>
    </w:pPr>
  </w:style>
  <w:style w:type="paragraph" w:styleId="881">
    <w:name w:val="toc 3"/>
    <w:basedOn w:val="863"/>
    <w:next w:val="863"/>
    <w:uiPriority w:val="39"/>
    <w:unhideWhenUsed/>
    <w:qFormat/>
    <w:pPr>
      <w:ind w:left="567" w:right="0" w:firstLine="0"/>
      <w:spacing w:after="57"/>
    </w:pPr>
  </w:style>
  <w:style w:type="paragraph" w:styleId="882">
    <w:name w:val="toc 8"/>
    <w:basedOn w:val="863"/>
    <w:next w:val="863"/>
    <w:uiPriority w:val="39"/>
    <w:unhideWhenUsed/>
    <w:qFormat/>
    <w:pPr>
      <w:ind w:left="1984" w:right="0" w:firstLine="0"/>
      <w:spacing w:after="57"/>
    </w:pPr>
  </w:style>
  <w:style w:type="paragraph" w:styleId="883">
    <w:name w:val="endnote text"/>
    <w:basedOn w:val="863"/>
    <w:link w:val="1047"/>
    <w:uiPriority w:val="99"/>
    <w:semiHidden/>
    <w:unhideWhenUsed/>
    <w:qFormat/>
    <w:pPr>
      <w:spacing w:after="0" w:line="240" w:lineRule="auto"/>
    </w:pPr>
    <w:rPr>
      <w:sz w:val="20"/>
    </w:rPr>
  </w:style>
  <w:style w:type="paragraph" w:styleId="884">
    <w:name w:val="Footer"/>
    <w:basedOn w:val="863"/>
    <w:link w:val="920"/>
    <w:uiPriority w:val="99"/>
    <w:unhideWhenUsed/>
    <w:qFormat/>
    <w:pPr>
      <w:spacing w:after="0" w:line="240" w:lineRule="auto"/>
      <w:tabs>
        <w:tab w:val="center" w:pos="7143" w:leader="none"/>
        <w:tab w:val="right" w:pos="14287" w:leader="none"/>
      </w:tabs>
    </w:pPr>
  </w:style>
  <w:style w:type="paragraph" w:styleId="885">
    <w:name w:val="Header"/>
    <w:basedOn w:val="863"/>
    <w:link w:val="918"/>
    <w:uiPriority w:val="99"/>
    <w:unhideWhenUsed/>
    <w:qFormat/>
    <w:pPr>
      <w:spacing w:after="0" w:line="240" w:lineRule="auto"/>
      <w:tabs>
        <w:tab w:val="center" w:pos="7143" w:leader="none"/>
        <w:tab w:val="right" w:pos="14287" w:leader="none"/>
      </w:tabs>
    </w:pPr>
  </w:style>
  <w:style w:type="paragraph" w:styleId="886">
    <w:name w:val="toc 1"/>
    <w:basedOn w:val="863"/>
    <w:next w:val="863"/>
    <w:uiPriority w:val="39"/>
    <w:unhideWhenUsed/>
    <w:qFormat/>
    <w:pPr>
      <w:ind w:left="0" w:right="0" w:firstLine="0"/>
      <w:spacing w:after="57"/>
    </w:pPr>
  </w:style>
  <w:style w:type="paragraph" w:styleId="887">
    <w:name w:val="toc 4"/>
    <w:basedOn w:val="863"/>
    <w:next w:val="863"/>
    <w:uiPriority w:val="39"/>
    <w:unhideWhenUsed/>
    <w:qFormat/>
    <w:pPr>
      <w:ind w:left="850" w:right="0" w:firstLine="0"/>
      <w:spacing w:after="57"/>
    </w:pPr>
  </w:style>
  <w:style w:type="paragraph" w:styleId="888">
    <w:name w:val="Subtitle"/>
    <w:basedOn w:val="863"/>
    <w:next w:val="863"/>
    <w:link w:val="913"/>
    <w:uiPriority w:val="11"/>
    <w:qFormat/>
    <w:pPr>
      <w:spacing w:before="200" w:after="200"/>
    </w:pPr>
    <w:rPr>
      <w:sz w:val="24"/>
      <w:szCs w:val="24"/>
    </w:rPr>
  </w:style>
  <w:style w:type="paragraph" w:styleId="889">
    <w:name w:val="footnote text"/>
    <w:basedOn w:val="863"/>
    <w:link w:val="1046"/>
    <w:uiPriority w:val="99"/>
    <w:semiHidden/>
    <w:unhideWhenUsed/>
    <w:qFormat/>
    <w:pPr>
      <w:spacing w:after="40" w:line="240" w:lineRule="auto"/>
    </w:pPr>
    <w:rPr>
      <w:sz w:val="18"/>
    </w:rPr>
  </w:style>
  <w:style w:type="paragraph" w:styleId="890">
    <w:name w:val="toc 6"/>
    <w:basedOn w:val="863"/>
    <w:next w:val="863"/>
    <w:uiPriority w:val="39"/>
    <w:unhideWhenUsed/>
    <w:qFormat/>
    <w:pPr>
      <w:ind w:left="1417" w:right="0" w:firstLine="0"/>
      <w:spacing w:after="57"/>
    </w:pPr>
  </w:style>
  <w:style w:type="paragraph" w:styleId="891">
    <w:name w:val="table of figures"/>
    <w:basedOn w:val="863"/>
    <w:next w:val="863"/>
    <w:uiPriority w:val="99"/>
    <w:unhideWhenUsed/>
    <w:qFormat/>
    <w:pPr>
      <w:spacing w:after="0" w:afterAutospacing="0"/>
    </w:pPr>
  </w:style>
  <w:style w:type="paragraph" w:styleId="892">
    <w:name w:val="toc 2"/>
    <w:basedOn w:val="863"/>
    <w:next w:val="863"/>
    <w:uiPriority w:val="39"/>
    <w:unhideWhenUsed/>
    <w:qFormat/>
    <w:pPr>
      <w:ind w:left="283" w:right="0" w:firstLine="0"/>
      <w:spacing w:after="57"/>
    </w:pPr>
  </w:style>
  <w:style w:type="paragraph" w:styleId="893">
    <w:name w:val="toc 9"/>
    <w:basedOn w:val="863"/>
    <w:next w:val="863"/>
    <w:uiPriority w:val="39"/>
    <w:unhideWhenUsed/>
    <w:qFormat/>
    <w:pPr>
      <w:ind w:left="2268" w:right="0" w:firstLine="0"/>
      <w:spacing w:after="57"/>
    </w:pPr>
  </w:style>
  <w:style w:type="paragraph" w:styleId="894">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5">
    <w:name w:val="Title"/>
    <w:basedOn w:val="863"/>
    <w:next w:val="863"/>
    <w:link w:val="912"/>
    <w:uiPriority w:val="10"/>
    <w:qFormat/>
    <w:pPr>
      <w:contextualSpacing/>
      <w:spacing w:before="300" w:after="200"/>
    </w:pPr>
    <w:rPr>
      <w:sz w:val="48"/>
      <w:szCs w:val="48"/>
    </w:rPr>
  </w:style>
  <w:style w:type="paragraph" w:styleId="896">
    <w:name w:val="Body Text First Indent 2"/>
    <w:basedOn w:val="879"/>
    <w:uiPriority w:val="0"/>
    <w:qFormat/>
    <w:pPr>
      <w:ind w:firstLine="420"/>
      <w:spacing w:line="240" w:lineRule="auto"/>
    </w:pPr>
  </w:style>
  <w:style w:type="table" w:styleId="8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semiHidden/>
    <w:unhideWhenUsed/>
    <w:qFormat/>
    <w:rPr>
      <w:vertAlign w:val="superscript"/>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footnote reference"/>
    <w:uiPriority w:val="99"/>
    <w:unhideWhenUsed/>
    <w:qFormat/>
    <w:rPr>
      <w:vertAlign w:val="superscript"/>
    </w:rPr>
  </w:style>
  <w:style w:type="paragraph" w:styleId="901" w:customStyle="1">
    <w:name w:val="标题 41"/>
    <w:basedOn w:val="863"/>
    <w:next w:val="863"/>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02" w:customStyle="1">
    <w:name w:val="Heading 1 Char"/>
    <w:link w:val="864"/>
    <w:uiPriority w:val="9"/>
    <w:qFormat/>
    <w:rPr>
      <w:rFonts w:ascii="Arial" w:hAnsi="Arial" w:eastAsia="Arial" w:cs="Arial"/>
      <w:sz w:val="40"/>
      <w:szCs w:val="40"/>
    </w:rPr>
  </w:style>
  <w:style w:type="character" w:styleId="903" w:customStyle="1">
    <w:name w:val="Heading 2 Char"/>
    <w:link w:val="865"/>
    <w:uiPriority w:val="9"/>
    <w:qFormat/>
    <w:rPr>
      <w:rFonts w:ascii="Arial" w:hAnsi="Arial" w:eastAsia="Arial" w:cs="Arial"/>
      <w:sz w:val="34"/>
    </w:rPr>
  </w:style>
  <w:style w:type="character" w:styleId="904" w:customStyle="1">
    <w:name w:val="Heading 3 Char"/>
    <w:link w:val="866"/>
    <w:uiPriority w:val="9"/>
    <w:qFormat/>
    <w:rPr>
      <w:rFonts w:ascii="Arial" w:hAnsi="Arial" w:eastAsia="Arial" w:cs="Arial"/>
      <w:sz w:val="30"/>
      <w:szCs w:val="30"/>
    </w:rPr>
  </w:style>
  <w:style w:type="character" w:styleId="905" w:customStyle="1">
    <w:name w:val="Heading 4 Char"/>
    <w:link w:val="867"/>
    <w:uiPriority w:val="9"/>
    <w:qFormat/>
    <w:rPr>
      <w:rFonts w:ascii="Arial" w:hAnsi="Arial" w:eastAsia="Arial" w:cs="Arial"/>
      <w:b/>
      <w:bCs/>
      <w:sz w:val="26"/>
      <w:szCs w:val="26"/>
    </w:rPr>
  </w:style>
  <w:style w:type="character" w:styleId="906" w:customStyle="1">
    <w:name w:val="Heading 5 Char"/>
    <w:link w:val="868"/>
    <w:uiPriority w:val="9"/>
    <w:qFormat/>
    <w:rPr>
      <w:rFonts w:ascii="Arial" w:hAnsi="Arial" w:eastAsia="Arial" w:cs="Arial"/>
      <w:b/>
      <w:bCs/>
      <w:sz w:val="24"/>
      <w:szCs w:val="24"/>
    </w:rPr>
  </w:style>
  <w:style w:type="character" w:styleId="907" w:customStyle="1">
    <w:name w:val="Heading 6 Char"/>
    <w:link w:val="869"/>
    <w:uiPriority w:val="9"/>
    <w:qFormat/>
    <w:rPr>
      <w:rFonts w:ascii="Arial" w:hAnsi="Arial" w:eastAsia="Arial" w:cs="Arial"/>
      <w:b/>
      <w:bCs/>
      <w:sz w:val="22"/>
      <w:szCs w:val="22"/>
    </w:rPr>
  </w:style>
  <w:style w:type="character" w:styleId="908" w:customStyle="1">
    <w:name w:val="Heading 7 Char"/>
    <w:link w:val="870"/>
    <w:uiPriority w:val="9"/>
    <w:qFormat/>
    <w:rPr>
      <w:rFonts w:ascii="Arial" w:hAnsi="Arial" w:eastAsia="Arial" w:cs="Arial"/>
      <w:b/>
      <w:bCs/>
      <w:i/>
      <w:iCs/>
      <w:sz w:val="22"/>
      <w:szCs w:val="22"/>
    </w:rPr>
  </w:style>
  <w:style w:type="character" w:styleId="909" w:customStyle="1">
    <w:name w:val="Heading 8 Char"/>
    <w:link w:val="871"/>
    <w:uiPriority w:val="9"/>
    <w:qFormat/>
    <w:rPr>
      <w:rFonts w:ascii="Arial" w:hAnsi="Arial" w:eastAsia="Arial" w:cs="Arial"/>
      <w:i/>
      <w:iCs/>
      <w:sz w:val="22"/>
      <w:szCs w:val="22"/>
    </w:rPr>
  </w:style>
  <w:style w:type="character" w:styleId="910" w:customStyle="1">
    <w:name w:val="Heading 9 Char"/>
    <w:link w:val="872"/>
    <w:uiPriority w:val="9"/>
    <w:qFormat/>
    <w:rPr>
      <w:rFonts w:ascii="Arial" w:hAnsi="Arial" w:eastAsia="Arial" w:cs="Arial"/>
      <w:i/>
      <w:iCs/>
      <w:sz w:val="21"/>
      <w:szCs w:val="21"/>
    </w:rPr>
  </w:style>
  <w:style w:type="paragraph" w:styleId="911">
    <w:name w:val="No Spacing"/>
    <w:uiPriority w:val="1"/>
    <w:qFormat/>
    <w:pPr>
      <w:spacing w:before="0" w:after="0" w:line="240" w:lineRule="auto"/>
    </w:pPr>
    <w:rPr>
      <w:rFonts w:hint="default" w:ascii="Times New Roman" w:hAnsi="Times New Roman" w:eastAsia="宋体" w:cs="Times New Roman"/>
    </w:rPr>
  </w:style>
  <w:style w:type="character" w:styleId="912" w:customStyle="1">
    <w:name w:val="Title Char"/>
    <w:link w:val="895"/>
    <w:uiPriority w:val="10"/>
    <w:qFormat/>
    <w:rPr>
      <w:sz w:val="48"/>
      <w:szCs w:val="48"/>
    </w:rPr>
  </w:style>
  <w:style w:type="character" w:styleId="913" w:customStyle="1">
    <w:name w:val="Subtitle Char"/>
    <w:link w:val="888"/>
    <w:uiPriority w:val="11"/>
    <w:qFormat/>
    <w:rPr>
      <w:sz w:val="24"/>
      <w:szCs w:val="24"/>
    </w:rPr>
  </w:style>
  <w:style w:type="paragraph" w:styleId="914">
    <w:name w:val="Quote"/>
    <w:basedOn w:val="863"/>
    <w:next w:val="863"/>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63"/>
    <w:next w:val="863"/>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85"/>
    <w:uiPriority w:val="99"/>
    <w:qFormat/>
  </w:style>
  <w:style w:type="character" w:styleId="919" w:customStyle="1">
    <w:name w:val="Footer Char"/>
    <w:link w:val="884"/>
    <w:uiPriority w:val="99"/>
    <w:qFormat/>
  </w:style>
  <w:style w:type="character" w:styleId="920" w:customStyle="1">
    <w:name w:val="Caption Char"/>
    <w:link w:val="884"/>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9"/>
    <w:uiPriority w:val="99"/>
    <w:qFormat/>
    <w:rPr>
      <w:sz w:val="18"/>
    </w:rPr>
  </w:style>
  <w:style w:type="character" w:styleId="1047" w:customStyle="1">
    <w:name w:val="Endnote Text Char"/>
    <w:link w:val="883"/>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标题 11"/>
    <w:basedOn w:val="863"/>
    <w:next w:val="863"/>
    <w:uiPriority w:val="9"/>
    <w:qFormat/>
    <w:pPr>
      <w:jc w:val="center"/>
      <w:keepLines/>
      <w:keepNext/>
      <w:outlineLvl w:val="0"/>
    </w:pPr>
    <w:rPr>
      <w:b/>
      <w:bCs/>
      <w:sz w:val="28"/>
      <w:szCs w:val="44"/>
    </w:rPr>
  </w:style>
  <w:style w:type="paragraph" w:styleId="1050" w:customStyle="1">
    <w:name w:val="标题 21"/>
    <w:basedOn w:val="863"/>
    <w:next w:val="863"/>
    <w:uiPriority w:val="9"/>
    <w:qFormat/>
    <w:pPr>
      <w:jc w:val="left"/>
      <w:spacing w:before="100" w:beforeAutospacing="1" w:after="100" w:afterAutospacing="1"/>
      <w:widowControl/>
      <w:outlineLvl w:val="1"/>
    </w:pPr>
    <w:rPr>
      <w:rFonts w:ascii="宋体" w:hAnsi="宋体" w:eastAsia="宋体" w:cs="宋体"/>
      <w:b/>
      <w:bCs/>
      <w:sz w:val="36"/>
      <w:szCs w:val="36"/>
    </w:rPr>
  </w:style>
  <w:style w:type="character" w:styleId="1051" w:customStyle="1">
    <w:name w:val="默认段落字体1"/>
    <w:link w:val="863"/>
    <w:uiPriority w:val="0"/>
    <w:semiHidden/>
    <w:qFormat/>
  </w:style>
  <w:style w:type="table" w:styleId="1052" w:customStyle="1">
    <w:name w:val="普通表格1"/>
    <w:uiPriority w:val="0"/>
    <w:semiHidden/>
    <w:qFormat/>
    <w:tblPr/>
  </w:style>
  <w:style w:type="paragraph" w:styleId="1053" w:customStyle="1">
    <w:name w:val="正文文本11"/>
    <w:basedOn w:val="863"/>
    <w:next w:val="863"/>
    <w:uiPriority w:val="0"/>
    <w:qFormat/>
    <w:rPr>
      <w:sz w:val="20"/>
    </w:rPr>
  </w:style>
  <w:style w:type="paragraph" w:styleId="1054" w:customStyle="1">
    <w:name w:val="正文文本缩进11"/>
    <w:basedOn w:val="863"/>
    <w:next w:val="1055"/>
    <w:uiPriority w:val="0"/>
    <w:qFormat/>
    <w:pPr>
      <w:ind w:firstLine="574"/>
      <w:spacing w:line="312" w:lineRule="atLeast"/>
    </w:pPr>
    <w:rPr>
      <w:rFonts w:ascii="宋体"/>
      <w:sz w:val="28"/>
    </w:rPr>
  </w:style>
  <w:style w:type="paragraph" w:styleId="1055" w:customStyle="1">
    <w:name w:val="寄信人地址1"/>
    <w:basedOn w:val="863"/>
    <w:uiPriority w:val="0"/>
    <w:qFormat/>
    <w:rPr>
      <w:rFonts w:ascii="Arial" w:hAnsi="Arial" w:eastAsia="宋体" w:cs="Times New Roman"/>
    </w:rPr>
  </w:style>
  <w:style w:type="paragraph" w:styleId="1056" w:customStyle="1">
    <w:name w:val="纯文本111"/>
    <w:basedOn w:val="863"/>
    <w:next w:val="863"/>
    <w:uiPriority w:val="0"/>
    <w:qFormat/>
    <w:rPr>
      <w:rFonts w:ascii="宋体" w:hAnsi="Courier New"/>
    </w:rPr>
  </w:style>
  <w:style w:type="paragraph" w:styleId="1057" w:customStyle="1">
    <w:name w:val="页脚1"/>
    <w:basedOn w:val="863"/>
    <w:uiPriority w:val="99"/>
    <w:unhideWhenUsed/>
    <w:qFormat/>
    <w:pPr>
      <w:jc w:val="left"/>
      <w:tabs>
        <w:tab w:val="center" w:pos="4153" w:leader="none"/>
        <w:tab w:val="right" w:pos="8306" w:leader="none"/>
      </w:tabs>
    </w:pPr>
    <w:rPr>
      <w:sz w:val="18"/>
      <w:szCs w:val="18"/>
    </w:rPr>
  </w:style>
  <w:style w:type="paragraph" w:styleId="1058" w:customStyle="1">
    <w:name w:val="页眉1"/>
    <w:basedOn w:val="8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9" w:customStyle="1">
    <w:name w:val="目录 11"/>
    <w:basedOn w:val="863"/>
    <w:next w:val="863"/>
    <w:uiPriority w:val="39"/>
    <w:qFormat/>
  </w:style>
  <w:style w:type="paragraph" w:styleId="1060" w:customStyle="1">
    <w:name w:val="正文文本 211"/>
    <w:basedOn w:val="863"/>
    <w:uiPriority w:val="99"/>
    <w:unhideWhenUsed/>
    <w:qFormat/>
    <w:pPr>
      <w:spacing w:after="120" w:line="480" w:lineRule="auto"/>
    </w:pPr>
    <w:rPr>
      <w:sz w:val="20"/>
    </w:rPr>
  </w:style>
  <w:style w:type="paragraph" w:styleId="1061" w:customStyle="1">
    <w:name w:val="普通(网站)1"/>
    <w:basedOn w:val="863"/>
    <w:uiPriority w:val="0"/>
    <w:qFormat/>
    <w:pPr>
      <w:ind w:left="0" w:right="0"/>
      <w:jc w:val="left"/>
      <w:spacing w:before="100" w:beforeAutospacing="1" w:after="100" w:afterAutospacing="1"/>
    </w:pPr>
    <w:rPr>
      <w:sz w:val="24"/>
      <w:lang w:val="en-US" w:eastAsia="zh-CN" w:bidi="ar"/>
    </w:rPr>
  </w:style>
  <w:style w:type="paragraph" w:styleId="1062" w:customStyle="1">
    <w:name w:val="正文首行缩进1"/>
    <w:basedOn w:val="1053"/>
    <w:uiPriority w:val="0"/>
    <w:qFormat/>
    <w:pPr>
      <w:ind w:firstLine="200"/>
      <w:spacing w:line="360" w:lineRule="auto"/>
    </w:pPr>
    <w:rPr>
      <w:rFonts w:ascii="仿宋_GB2312" w:eastAsia="仿宋_GB2312"/>
      <w:sz w:val="30"/>
      <w:szCs w:val="30"/>
    </w:rPr>
  </w:style>
  <w:style w:type="paragraph" w:styleId="1063" w:customStyle="1">
    <w:name w:val="正文首行缩进 211"/>
    <w:basedOn w:val="1054"/>
    <w:uiPriority w:val="0"/>
    <w:unhideWhenUsed/>
    <w:qFormat/>
    <w:pPr>
      <w:ind w:firstLine="420"/>
    </w:pPr>
    <w:rPr>
      <w:lang w:val="en-US" w:eastAsia="zh-CN"/>
    </w:rPr>
  </w:style>
  <w:style w:type="table" w:styleId="1064" w:customStyle="1">
    <w:name w:val="网格型1"/>
    <w:basedOn w:val="1052"/>
    <w:uiPriority w:val="39"/>
    <w:qFormat/>
    <w:rPr>
      <w:rFonts w:ascii="Calibri" w:hAnsi="Calibri" w:eastAsia="宋体" w:cs="Times New Roman"/>
      <w:sz w:val="21"/>
      <w:szCs w:val="22"/>
    </w:rPr>
    <w:tblPr/>
  </w:style>
  <w:style w:type="character" w:styleId="1065" w:customStyle="1">
    <w:name w:val="页码1"/>
    <w:basedOn w:val="1051"/>
    <w:link w:val="863"/>
    <w:uiPriority w:val="0"/>
    <w:qFormat/>
  </w:style>
  <w:style w:type="character" w:styleId="1066" w:customStyle="1">
    <w:name w:val="已访问的超链接1"/>
    <w:link w:val="863"/>
    <w:uiPriority w:val="99"/>
    <w:qFormat/>
    <w:rPr>
      <w:color w:val="000000"/>
      <w:u w:val="none"/>
    </w:rPr>
  </w:style>
  <w:style w:type="character" w:styleId="1067" w:customStyle="1">
    <w:name w:val="超链接1"/>
    <w:link w:val="863"/>
    <w:uiPriority w:val="99"/>
    <w:unhideWhenUsed/>
    <w:qFormat/>
    <w:rPr>
      <w:color w:val="0000ff"/>
      <w:u w:val="single"/>
    </w:rPr>
  </w:style>
  <w:style w:type="paragraph" w:styleId="1068" w:customStyle="1">
    <w:name w:val="列出段落1"/>
    <w:basedOn w:val="863"/>
    <w:uiPriority w:val="34"/>
    <w:qFormat/>
    <w:pPr>
      <w:ind w:firstLine="200"/>
    </w:pPr>
    <w:rPr>
      <w:rFonts w:ascii="Tahoma" w:hAnsi="Tahoma" w:cs="Verdana"/>
      <w:szCs w:val="22"/>
    </w:rPr>
  </w:style>
  <w:style w:type="paragraph" w:styleId="1069" w:customStyle="1">
    <w:name w:val="正文首行缩进 21"/>
    <w:basedOn w:val="1070"/>
    <w:uiPriority w:val="0"/>
    <w:qFormat/>
    <w:pPr>
      <w:ind w:firstLine="420"/>
      <w:spacing w:line="240" w:lineRule="auto"/>
    </w:pPr>
  </w:style>
  <w:style w:type="paragraph" w:styleId="1070" w:customStyle="1">
    <w:name w:val="正文文本缩进1"/>
    <w:basedOn w:val="863"/>
    <w:uiPriority w:val="0"/>
    <w:qFormat/>
    <w:pPr>
      <w:ind w:left="420" w:firstLine="1124"/>
      <w:spacing w:after="120" w:line="360" w:lineRule="auto"/>
    </w:pPr>
    <w:rPr>
      <w:rFonts w:ascii="Calibri" w:hAnsi="Calibri"/>
      <w:sz w:val="24"/>
      <w:szCs w:val="24"/>
    </w:rPr>
  </w:style>
  <w:style w:type="paragraph" w:styleId="1071" w:customStyle="1">
    <w:name w:val="首行缩进"/>
    <w:basedOn w:val="863"/>
    <w:uiPriority w:val="0"/>
    <w:qFormat/>
    <w:pPr>
      <w:ind w:firstLine="480"/>
      <w:jc w:val="left"/>
    </w:pPr>
    <w:rPr>
      <w:rFonts w:ascii="宋体" w:hAnsi="宋体" w:cs="Calibri"/>
      <w:szCs w:val="21"/>
    </w:rPr>
  </w:style>
  <w:style w:type="paragraph" w:styleId="1072" w:customStyle="1">
    <w:name w:val="段"/>
    <w:next w:val="863"/>
    <w:uiPriority w:val="0"/>
    <w:qFormat/>
    <w:pPr>
      <w:ind w:firstLine="200"/>
      <w:jc w:val="both"/>
    </w:pPr>
    <w:rPr>
      <w:rFonts w:hint="default" w:ascii="宋体" w:hAnsi="Times New Roman" w:eastAsia="宋体" w:cs="Times New Roman"/>
      <w:sz w:val="21"/>
      <w:szCs w:val="22"/>
      <w:lang w:val="en-US" w:eastAsia="zh-CN" w:bidi="ar-SA"/>
    </w:rPr>
  </w:style>
  <w:style w:type="paragraph" w:styleId="1073" w:customStyle="1">
    <w:name w:val="普通文字"/>
    <w:basedOn w:val="863"/>
    <w:next w:val="863"/>
    <w:uiPriority w:val="0"/>
    <w:qFormat/>
    <w:rPr>
      <w:rFonts w:ascii="宋体"/>
      <w:sz w:val="24"/>
      <w:u w:val="none"/>
    </w:rPr>
  </w:style>
  <w:style w:type="paragraph" w:styleId="1074">
    <w:name w:val="List Paragraph"/>
    <w:basedOn w:val="863"/>
    <w:uiPriority w:val="99"/>
    <w:qFormat/>
    <w:pPr>
      <w:ind w:firstLine="420"/>
    </w:pPr>
    <w:rPr>
      <w:rFonts w:ascii="Times New Roman" w:hAnsi="Times New Roman"/>
      <w:szCs w:val="20"/>
    </w:rPr>
  </w:style>
  <w:style w:type="paragraph" w:styleId="1075"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缩进1"/>
    <w:basedOn w:val="863"/>
    <w:uiPriority w:val="0"/>
    <w:qFormat/>
    <w:pPr>
      <w:ind w:firstLine="420"/>
      <w:jc w:val="left"/>
    </w:pPr>
    <w:rPr>
      <w:rFonts w:ascii="宋体" w:hAnsi="Calibri"/>
      <w:sz w:val="24"/>
      <w:szCs w:val="22"/>
    </w:rPr>
  </w:style>
  <w:style w:type="paragraph" w:styleId="1077" w:customStyle="1">
    <w:name w:val="索引 11"/>
    <w:basedOn w:val="863"/>
    <w:next w:val="863"/>
    <w:uiPriority w:val="0"/>
    <w:qFormat/>
    <w:pPr>
      <w:spacing w:line="360" w:lineRule="auto"/>
    </w:pPr>
    <w:rPr>
      <w:rFonts w:ascii="仿宋_GB2312" w:eastAsia="仿宋_GB2312"/>
      <w:sz w:val="24"/>
    </w:rPr>
  </w:style>
  <w:style w:type="paragraph" w:styleId="1078" w:customStyle="1">
    <w:name w:val="纯文本1"/>
    <w:basedOn w:val="863"/>
    <w:uiPriority w:val="0"/>
    <w:qFormat/>
    <w:rPr>
      <w:rFonts w:ascii="宋体" w:hAnsi="Courier New"/>
      <w:szCs w:val="22"/>
    </w:rPr>
  </w:style>
  <w:style w:type="character" w:styleId="1079" w:customStyle="1">
    <w:name w:val="Hyperlink.0"/>
    <w:link w:val="863"/>
    <w:uiPriority w:val="0"/>
    <w:qFormat/>
    <w:rPr>
      <w:lang w:val="zh-TW" w:eastAsia="zh-TW"/>
    </w:rPr>
  </w:style>
  <w:style w:type="character" w:styleId="1080" w:customStyle="1">
    <w:name w:val="font11"/>
    <w:basedOn w:val="873"/>
    <w:link w:val="863"/>
    <w:uiPriority w:val="0"/>
    <w:qFormat/>
    <w:rPr>
      <w:rFonts w:hint="eastAsia" w:ascii="宋体" w:hAnsi="宋体" w:eastAsia="宋体" w:cs="宋体"/>
      <w:color w:val="ff0000"/>
      <w:sz w:val="18"/>
      <w:szCs w:val="18"/>
      <w:u w:val="none"/>
    </w:rPr>
  </w:style>
  <w:style w:type="character" w:styleId="1081" w:customStyle="1">
    <w:name w:val="font181"/>
    <w:basedOn w:val="1051"/>
    <w:link w:val="863"/>
    <w:uiPriority w:val="0"/>
    <w:qFormat/>
    <w:rPr>
      <w:rFonts w:hint="eastAsia" w:ascii="宋体" w:hAnsi="宋体" w:eastAsia="宋体" w:cs="宋体"/>
      <w:b/>
      <w:bCs/>
      <w:color w:val="ff0000"/>
      <w:sz w:val="18"/>
      <w:szCs w:val="18"/>
      <w:u w:val="none"/>
    </w:rPr>
  </w:style>
  <w:style w:type="character" w:styleId="1082" w:customStyle="1">
    <w:name w:val="font91"/>
    <w:basedOn w:val="873"/>
    <w:link w:val="863"/>
    <w:uiPriority w:val="0"/>
    <w:qFormat/>
    <w:rPr>
      <w:rFonts w:hint="eastAsia" w:ascii="宋体" w:hAnsi="宋体" w:eastAsia="宋体" w:cs="宋体"/>
      <w:b/>
      <w:bCs/>
      <w:color w:val="000000"/>
      <w:sz w:val="18"/>
      <w:szCs w:val="18"/>
      <w:u w:val="none"/>
    </w:rPr>
  </w:style>
  <w:style w:type="character" w:styleId="1083" w:customStyle="1">
    <w:name w:val="font61"/>
    <w:basedOn w:val="873"/>
    <w:link w:val="863"/>
    <w:uiPriority w:val="0"/>
    <w:qFormat/>
    <w:rPr>
      <w:rFonts w:hint="eastAsia" w:ascii="宋体" w:hAnsi="宋体" w:eastAsia="宋体" w:cs="宋体"/>
      <w:color w:val="000000"/>
      <w:sz w:val="18"/>
      <w:szCs w:val="18"/>
      <w:u w:val="none"/>
    </w:rPr>
  </w:style>
  <w:style w:type="character" w:styleId="1084" w:customStyle="1">
    <w:name w:val="font121"/>
    <w:basedOn w:val="1051"/>
    <w:link w:val="863"/>
    <w:uiPriority w:val="0"/>
    <w:qFormat/>
    <w:rPr>
      <w:rFonts w:hint="eastAsia" w:ascii="宋体" w:hAnsi="宋体" w:eastAsia="宋体" w:cs="宋体"/>
      <w:color w:val="7030a0"/>
      <w:sz w:val="18"/>
      <w:szCs w:val="18"/>
      <w:u w:val="none"/>
    </w:rPr>
  </w:style>
  <w:style w:type="character" w:styleId="1085" w:customStyle="1">
    <w:name w:val="font101"/>
    <w:basedOn w:val="1051"/>
    <w:link w:val="863"/>
    <w:uiPriority w:val="0"/>
    <w:qFormat/>
    <w:rPr>
      <w:rFonts w:hint="eastAsia" w:ascii="宋体" w:hAnsi="宋体" w:eastAsia="宋体" w:cs="宋体"/>
      <w:color w:val="000000"/>
      <w:sz w:val="18"/>
      <w:szCs w:val="18"/>
      <w:u w:val="none"/>
    </w:rPr>
  </w:style>
  <w:style w:type="character" w:styleId="1086" w:customStyle="1">
    <w:name w:val="font171"/>
    <w:basedOn w:val="873"/>
    <w:link w:val="863"/>
    <w:uiPriority w:val="0"/>
    <w:qFormat/>
    <w:rPr>
      <w:rFonts w:hint="eastAsia" w:ascii="宋体" w:hAnsi="宋体" w:eastAsia="宋体" w:cs="宋体"/>
      <w:color w:val="ff0000"/>
      <w:sz w:val="18"/>
      <w:szCs w:val="18"/>
      <w:u w:val="none"/>
    </w:rPr>
  </w:style>
  <w:style w:type="character" w:styleId="1087" w:customStyle="1">
    <w:name w:val="font141"/>
    <w:basedOn w:val="1051"/>
    <w:link w:val="863"/>
    <w:uiPriority w:val="0"/>
    <w:qFormat/>
    <w:rPr>
      <w:rFonts w:hint="eastAsia" w:ascii="宋体" w:hAnsi="宋体" w:eastAsia="宋体" w:cs="宋体"/>
      <w:b/>
      <w:bCs/>
      <w:color w:val="ff0000"/>
      <w:sz w:val="18"/>
      <w:szCs w:val="18"/>
      <w:u w:val="none"/>
    </w:rPr>
  </w:style>
  <w:style w:type="character" w:styleId="1088" w:customStyle="1">
    <w:name w:val="font111"/>
    <w:basedOn w:val="1051"/>
    <w:link w:val="863"/>
    <w:uiPriority w:val="0"/>
    <w:qFormat/>
    <w:rPr>
      <w:rFonts w:hint="eastAsia" w:ascii="宋体" w:hAnsi="宋体" w:eastAsia="宋体" w:cs="宋体"/>
      <w:color w:val="ff0000"/>
      <w:sz w:val="18"/>
      <w:szCs w:val="18"/>
      <w:u w:val="none"/>
    </w:rPr>
  </w:style>
  <w:style w:type="character" w:styleId="1089" w:customStyle="1">
    <w:name w:val="font122"/>
    <w:basedOn w:val="1051"/>
    <w:link w:val="863"/>
    <w:uiPriority w:val="0"/>
    <w:qFormat/>
    <w:rPr>
      <w:rFonts w:hint="eastAsia" w:ascii="宋体" w:hAnsi="宋体" w:eastAsia="宋体" w:cs="宋体"/>
      <w:b/>
      <w:bCs/>
      <w:color w:val="ff0000"/>
      <w:sz w:val="18"/>
      <w:szCs w:val="18"/>
      <w:u w:val="none"/>
    </w:rPr>
  </w:style>
  <w:style w:type="character" w:styleId="1090" w:customStyle="1">
    <w:name w:val="font51"/>
    <w:basedOn w:val="1051"/>
    <w:link w:val="863"/>
    <w:uiPriority w:val="0"/>
    <w:qFormat/>
    <w:rPr>
      <w:rFonts w:hint="eastAsia" w:ascii="宋体" w:hAnsi="宋体" w:eastAsia="宋体" w:cs="宋体"/>
      <w:color w:val="000000"/>
      <w:sz w:val="18"/>
      <w:szCs w:val="18"/>
      <w:u w:val="none"/>
    </w:rPr>
  </w:style>
  <w:style w:type="character" w:styleId="1091" w:customStyle="1">
    <w:name w:val="font81"/>
    <w:basedOn w:val="1051"/>
    <w:link w:val="863"/>
    <w:uiPriority w:val="0"/>
    <w:qFormat/>
    <w:rPr>
      <w:rFonts w:hint="eastAsia" w:ascii="宋体" w:hAnsi="宋体" w:eastAsia="宋体" w:cs="宋体"/>
      <w:color w:val="000000"/>
      <w:sz w:val="18"/>
      <w:szCs w:val="18"/>
      <w:u w:val="none"/>
    </w:rPr>
  </w:style>
  <w:style w:type="character" w:styleId="1092" w:customStyle="1">
    <w:name w:val="font21"/>
    <w:basedOn w:val="1051"/>
    <w:link w:val="863"/>
    <w:uiPriority w:val="0"/>
    <w:qFormat/>
    <w:rPr>
      <w:rFonts w:hint="eastAsia" w:ascii="宋体" w:hAnsi="宋体" w:eastAsia="宋体" w:cs="宋体"/>
      <w:color w:val="000000"/>
      <w:sz w:val="18"/>
      <w:szCs w:val="18"/>
      <w:u w:val="none"/>
    </w:rPr>
  </w:style>
  <w:style w:type="character" w:styleId="1093" w:customStyle="1">
    <w:name w:val="NormalCharacter1"/>
    <w:link w:val="863"/>
    <w:uiPriority w:val="0"/>
    <w:qFormat/>
  </w:style>
  <w:style w:type="character" w:styleId="1094" w:customStyle="1">
    <w:name w:val="font132"/>
    <w:basedOn w:val="1051"/>
    <w:link w:val="863"/>
    <w:uiPriority w:val="0"/>
    <w:qFormat/>
    <w:rPr>
      <w:rFonts w:ascii="Times New Roman" w:hAnsi="Times New Roman" w:cs="Times New Roman"/>
      <w:color w:val="000000"/>
      <w:sz w:val="22"/>
      <w:szCs w:val="22"/>
      <w:u w:val="none"/>
    </w:rPr>
  </w:style>
  <w:style w:type="character" w:styleId="1095" w:customStyle="1">
    <w:name w:val="font41"/>
    <w:basedOn w:val="1051"/>
    <w:link w:val="863"/>
    <w:uiPriority w:val="0"/>
    <w:qFormat/>
    <w:rPr>
      <w:rFonts w:hint="eastAsia" w:ascii="宋体" w:hAnsi="宋体" w:eastAsia="宋体" w:cs="宋体"/>
      <w:color w:val="000000"/>
      <w:sz w:val="22"/>
      <w:szCs w:val="22"/>
      <w:u w:val="none"/>
    </w:rPr>
  </w:style>
  <w:style w:type="character" w:styleId="1096" w:customStyle="1">
    <w:name w:val="font31"/>
    <w:basedOn w:val="873"/>
    <w:link w:val="863"/>
    <w:uiPriority w:val="0"/>
    <w:qFormat/>
    <w:rPr>
      <w:rFonts w:hint="eastAsia" w:ascii="宋体" w:hAnsi="宋体" w:eastAsia="宋体" w:cs="宋体"/>
      <w:color w:val="000000"/>
      <w:sz w:val="24"/>
      <w:szCs w:val="24"/>
      <w:u w:val="none"/>
    </w:rPr>
  </w:style>
  <w:style w:type="paragraph" w:styleId="1097" w:customStyle="1">
    <w:name w:val="正文文本1"/>
    <w:basedOn w:val="863"/>
    <w:uiPriority w:val="0"/>
    <w:qFormat/>
    <w:rPr>
      <w:rFonts w:cs="Times New Roman"/>
      <w:sz w:val="20"/>
      <w:szCs w:val="20"/>
    </w:rPr>
  </w:style>
  <w:style w:type="paragraph" w:styleId="1098" w:customStyle="1">
    <w:name w:val="正文文本首行缩进"/>
    <w:basedOn w:val="1097"/>
    <w:uiPriority w:val="0"/>
    <w:qFormat/>
    <w:pPr>
      <w:ind w:firstLine="420"/>
      <w:spacing w:after="120"/>
      <w:tabs>
        <w:tab w:val="left" w:pos="2020" w:leader="none"/>
        <w:tab w:val="center" w:pos="4535" w:leader="none"/>
      </w:tabs>
    </w:pPr>
    <w:rPr>
      <w:rFonts w:ascii="Times New Roman"/>
      <w:sz w:val="21"/>
    </w:rPr>
  </w:style>
  <w:style w:type="character" w:styleId="1099" w:customStyle="1">
    <w:name w:val="font131"/>
    <w:basedOn w:val="1051"/>
    <w:link w:val="863"/>
    <w:uiPriority w:val="0"/>
    <w:qFormat/>
    <w:rPr>
      <w:rFonts w:ascii="Wingdings 2" w:hAnsi="Wingdings 2" w:eastAsia="Wingdings 2" w:cs="Wingdings 2"/>
      <w:color w:val="000000"/>
      <w:sz w:val="20"/>
      <w:szCs w:val="20"/>
      <w:u w:val="none"/>
    </w:rPr>
  </w:style>
  <w:style w:type="paragraph" w:styleId="110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01" w:customStyle="1">
    <w:name w:val="纯文本11"/>
    <w:basedOn w:val="863"/>
    <w:uiPriority w:val="0"/>
    <w:qFormat/>
    <w:rPr>
      <w:rFonts w:ascii="宋体" w:hAnsi="Courier New"/>
    </w:rPr>
  </w:style>
  <w:style w:type="paragraph" w:styleId="1102" w:customStyle="1">
    <w:name w:val="正文文本 21"/>
    <w:basedOn w:val="863"/>
    <w:uiPriority w:val="0"/>
    <w:qFormat/>
    <w:pPr>
      <w:spacing w:after="120" w:line="480" w:lineRule="auto"/>
    </w:pPr>
    <w:rPr>
      <w:rFonts w:cs="Times New Roman"/>
      <w:sz w:val="20"/>
      <w:szCs w:val="20"/>
    </w:rPr>
  </w:style>
  <w:style w:type="character" w:styleId="1103" w:customStyle="1">
    <w:name w:val="font12"/>
    <w:basedOn w:val="1051"/>
    <w:link w:val="863"/>
    <w:uiPriority w:val="0"/>
    <w:qFormat/>
    <w:rPr>
      <w:rFonts w:hint="eastAsia" w:ascii="宋体" w:hAnsi="宋体" w:eastAsia="宋体" w:cs="宋体"/>
      <w:color w:val="000000"/>
      <w:sz w:val="20"/>
      <w:szCs w:val="20"/>
      <w:u w:val="none"/>
    </w:rPr>
  </w:style>
  <w:style w:type="paragraph" w:styleId="1104" w:customStyle="1">
    <w:name w:val="正文文本缩进 31"/>
    <w:basedOn w:val="863"/>
    <w:uiPriority w:val="0"/>
    <w:qFormat/>
    <w:pPr>
      <w:ind w:firstLine="698"/>
      <w:jc w:val="left"/>
      <w:spacing w:line="360" w:lineRule="auto"/>
    </w:pPr>
    <w:rPr>
      <w:rFonts w:ascii="仿宋_GB2312" w:eastAsia="仿宋_GB2312"/>
      <w:sz w:val="32"/>
      <w:szCs w:val="20"/>
    </w:rPr>
  </w:style>
  <w:style w:type="character" w:styleId="1105" w:customStyle="1">
    <w:name w:val="font151"/>
    <w:basedOn w:val="873"/>
    <w:uiPriority w:val="0"/>
    <w:qFormat/>
    <w:rPr>
      <w:rFonts w:ascii="Arial" w:hAnsi="Arial" w:cs="Arial"/>
      <w:color w:val="000000"/>
      <w:sz w:val="20"/>
      <w:szCs w:val="20"/>
      <w:u w:val="none"/>
    </w:rPr>
  </w:style>
  <w:style w:type="character" w:styleId="1106" w:customStyle="1">
    <w:name w:val="font161"/>
    <w:basedOn w:val="873"/>
    <w:uiPriority w:val="0"/>
    <w:qFormat/>
    <w:rPr>
      <w:rFonts w:hint="default" w:ascii="Times New Roman" w:hAnsi="Times New Roman" w:cs="Times New Roman"/>
      <w:color w:val="000000"/>
      <w:sz w:val="20"/>
      <w:szCs w:val="20"/>
      <w:u w:val="none"/>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欧雅</cp:lastModifiedBy>
  <cp:revision>11</cp:revision>
  <dcterms:created xsi:type="dcterms:W3CDTF">2022-10-17T07:36:00Z</dcterms:created>
  <dcterms:modified xsi:type="dcterms:W3CDTF">2025-11-25T05:44:34Z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8B7725D6A046479DB00FF42404D092DF_13</vt:lpwstr>
  </property>
  <property fmtid="{D5CDD505-2E9C-101B-9397-08002B2CF9AE}" pid="4" name="KSOTemplateDocerSaveRecord">
    <vt:lpwstr>eyJoZGlkIjoiNDg4OTI4MzY0NmYyMTI3ZDM0MjBkMmEwNmVjYWZmMTciLCJ1c2VySWQiOiIzNDEwNTA3NjQifQ==</vt:lpwstr>
  </property>
</Properties>
</file>